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52" w:before="0" w:after="0"/>
        <w:ind w:firstLine="709"/>
        <w:jc w:val="center"/>
        <w:rPr/>
      </w:pPr>
      <w:r>
        <w:rPr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на территории ЗАТО г. Радужный </w:t>
      </w:r>
      <w:r>
        <w:rPr>
          <w:rFonts w:eastAsia="Arial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>Владимирской области</w:t>
      </w:r>
    </w:p>
    <w:p>
      <w:pPr>
        <w:pStyle w:val="BodyText"/>
        <w:bidi w:val="0"/>
        <w:spacing w:lineRule="auto" w:line="252" w:before="0" w:after="0"/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средний риск;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умеренный риск;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низкий риск.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auto"/>
          <w:sz w:val="28"/>
          <w:szCs w:val="28"/>
        </w:rPr>
        <w:t>Критерии</w:t>
      </w:r>
      <w:r>
        <w:rPr>
          <w:sz w:val="28"/>
          <w:szCs w:val="28"/>
        </w:rPr>
        <w:t xml:space="preserve">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rFonts w:eastAsia="Calibri" w:cs="Times New Roman"/>
          <w:strike w:val="false"/>
          <w:dstrike w:val="false"/>
          <w:color w:val="auto"/>
          <w:sz w:val="28"/>
          <w:szCs w:val="28"/>
          <w:lang w:val="ru-RU"/>
        </w:rPr>
        <w:t>Контрольный орган п</w:t>
      </w:r>
      <w:r>
        <w:rPr>
          <w:rFonts w:cs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rFonts w:cs="Times New Roman"/>
          <w:color w:val="auto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 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color w:val="auto"/>
          <w:sz w:val="28"/>
          <w:szCs w:val="28"/>
          <w:u w:val="none"/>
        </w:rPr>
        <w:t xml:space="preserve">индикаторов </w:t>
      </w:r>
      <w:r>
        <w:rPr>
          <w:sz w:val="28"/>
          <w:szCs w:val="28"/>
        </w:rPr>
        <w:t>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6. 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ConsPlusNormal"/>
        <w:bidi w:val="0"/>
        <w:spacing w:lineRule="auto" w:line="240"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</w:t>
      </w:r>
      <w:r>
        <w:rPr>
          <w:rFonts w:eastAsia="Calibri" w:cs="Times New Roman"/>
          <w:strike w:val="false"/>
          <w:dstrike w:val="false"/>
          <w:color w:val="auto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>
        <w:rPr>
          <w:rFonts w:cs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Федерального  закона 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>
      <w:pPr>
        <w:pStyle w:val="Normal"/>
        <w:bidi w:val="0"/>
        <w:spacing w:lineRule="auto" w:line="240" w:before="0" w:after="0"/>
        <w:ind w:hanging="0" w:left="4536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hanging="0" w:left="4536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hanging="0" w:left="4536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right"/>
        <w:rPr/>
      </w:pPr>
      <w:r>
        <w:rPr>
          <w:rFonts w:cs="Times New Roman" w:ascii="Times New Roman" w:hAnsi="Times New Roman"/>
        </w:rPr>
        <w:t>Приложение № 1</w:t>
      </w:r>
    </w:p>
    <w:p>
      <w:pPr>
        <w:pStyle w:val="Normal"/>
        <w:bidi w:val="0"/>
        <w:spacing w:lineRule="auto" w:line="252"/>
        <w:ind w:hanging="0" w:left="4536"/>
        <w:jc w:val="right"/>
        <w:rPr/>
      </w:pPr>
      <w:r>
        <w:rPr>
          <w:rFonts w:cs="Times New Roman" w:ascii="Times New Roman" w:hAnsi="Times New Roman"/>
        </w:rPr>
        <w:t xml:space="preserve">к Положению о муниципальном контроле </w:t>
      </w:r>
      <w:r>
        <w:rPr>
          <w:rFonts w:cs="Times New Roman" w:ascii="Times New Roman" w:hAnsi="Times New Roman"/>
          <w:color w:val="000000"/>
        </w:rPr>
        <w:t>в сфере благоустройства на территории ЗАТО г. Радужный Владимирской области</w:t>
      </w:r>
    </w:p>
    <w:p>
      <w:pPr>
        <w:pStyle w:val="Normal"/>
        <w:bidi w:val="0"/>
        <w:spacing w:lineRule="auto" w:line="252"/>
        <w:ind w:hanging="0" w:left="4536"/>
        <w:jc w:val="both"/>
        <w:rPr>
          <w:rFonts w:ascii="Tinos" w:hAnsi="Tinos" w:cs="Times New Roman"/>
          <w:color w:val="000000"/>
          <w:sz w:val="24"/>
          <w:szCs w:val="24"/>
        </w:rPr>
      </w:pPr>
      <w:r>
        <w:rPr>
          <w:rFonts w:cs="Times New Roman" w:ascii="Tinos" w:hAnsi="Tinos"/>
          <w:color w:val="000000"/>
          <w:sz w:val="24"/>
          <w:szCs w:val="24"/>
        </w:rPr>
      </w:r>
    </w:p>
    <w:p>
      <w:pPr>
        <w:pStyle w:val="ConsPlusTitle"/>
        <w:ind w:right="0"/>
        <w:jc w:val="center"/>
        <w:rPr>
          <w:rFonts w:ascii="Tinos" w:hAnsi="Tinos" w:cs="Tinos"/>
          <w:sz w:val="24"/>
          <w:szCs w:val="24"/>
        </w:rPr>
      </w:pPr>
      <w:bookmarkStart w:id="0" w:name="Par253"/>
      <w:bookmarkEnd w:id="0"/>
      <w:r>
        <w:rPr>
          <w:rFonts w:cs="Tinos" w:ascii="Tinos" w:hAnsi="Tinos"/>
          <w:sz w:val="24"/>
          <w:szCs w:val="24"/>
        </w:rPr>
        <w:t>КРИТЕРИИ</w:t>
      </w:r>
    </w:p>
    <w:p>
      <w:pPr>
        <w:pStyle w:val="ConsPlusTitle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ОТНЕСЕНИЯ ОБЪЕКТОВ КОНТРОЛЯ В СФЕРЕ БЛАГОУСТРОЙСТВА</w:t>
      </w:r>
    </w:p>
    <w:p>
      <w:pPr>
        <w:pStyle w:val="ConsPlusTitle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К ОПРЕДЕЛЕННОЙ КАТЕГОРИИ РИСКА ПРИ ОСУЩЕСТВЛЕНИИ</w:t>
      </w:r>
    </w:p>
    <w:p>
      <w:pPr>
        <w:pStyle w:val="ConsPlusTitle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АДМИНИСТРАЦИЕЙ ЗАТО Г. РАДУЖНЫЙ ВЛАДИМИРСКОЙ ОБЛАСТИ</w:t>
      </w:r>
    </w:p>
    <w:p>
      <w:pPr>
        <w:pStyle w:val="ConsPlusTitle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КОНТРОЛЯ В СФЕРЕ БЛАГОУСТРОЙСТВА</w:t>
      </w:r>
    </w:p>
    <w:tbl>
      <w:tblPr>
        <w:tblW w:w="9976" w:type="dxa"/>
        <w:jc w:val="left"/>
        <w:tblInd w:w="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7201"/>
        <w:gridCol w:w="2211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п/п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720" w:righ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Объекты муниципального контроля в сфере благоустройства в ЗАТО г. Радужный Владимирской области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Категория риска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1.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both"/>
              <w:rPr>
                <w:rFonts w:ascii="Tinos" w:hAnsi="Tinos" w:cs="Times New Roman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>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Средний риск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2.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both"/>
              <w:rPr>
                <w:rFonts w:ascii="Tinos" w:hAnsi="Tinos" w:cs="Tinos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</w:pPr>
            <w:r>
              <w:rPr>
                <w:rFonts w:cs="Tinos" w:ascii="Tinos" w:hAnsi="Tinos"/>
                <w:b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>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Умеренный риск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3.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both"/>
              <w:rPr/>
            </w:pPr>
            <w:r>
              <w:rPr>
                <w:rFonts w:cs="Tinos" w:ascii="Tinos" w:hAnsi="Tinos"/>
                <w:sz w:val="24"/>
                <w:szCs w:val="24"/>
              </w:rPr>
              <w:t xml:space="preserve">Юридические лица, индивидуальные предприниматели и физические лица при отсутствии обстоятельств, указанных в </w:t>
            </w:r>
            <w:hyperlink w:anchor="Par262" w:tgtFrame="_blank">
              <w:r>
                <w:rPr>
                  <w:rStyle w:val="Hyperlink"/>
                  <w:rFonts w:cs="Tinos" w:ascii="Tinos" w:hAnsi="Tinos"/>
                  <w:color w:val="auto"/>
                  <w:sz w:val="24"/>
                  <w:szCs w:val="24"/>
                  <w:u w:val="none"/>
                </w:rPr>
                <w:t>пунктах 1</w:t>
              </w:r>
            </w:hyperlink>
            <w:r>
              <w:rPr>
                <w:rFonts w:cs="Tinos" w:ascii="Tinos" w:hAnsi="Tinos"/>
                <w:color w:val="auto"/>
                <w:sz w:val="24"/>
                <w:szCs w:val="24"/>
                <w:u w:val="none"/>
              </w:rPr>
              <w:t xml:space="preserve"> и </w:t>
            </w:r>
            <w:hyperlink w:anchor="Par265" w:tgtFrame="_blank">
              <w:r>
                <w:rPr>
                  <w:rStyle w:val="Hyperlink"/>
                  <w:rFonts w:cs="Tinos" w:ascii="Tinos" w:hAnsi="Tinos"/>
                  <w:strike w:val="false"/>
                  <w:dstrike w:val="false"/>
                  <w:color w:val="auto"/>
                  <w:sz w:val="24"/>
                  <w:szCs w:val="24"/>
                  <w:u w:val="none"/>
                </w:rPr>
                <w:t>2</w:t>
              </w:r>
            </w:hyperlink>
            <w:r>
              <w:rPr>
                <w:rFonts w:cs="Tinos" w:ascii="Tinos" w:hAnsi="Tinos"/>
                <w:sz w:val="24"/>
                <w:szCs w:val="24"/>
              </w:rPr>
              <w:t xml:space="preserve"> </w:t>
            </w:r>
            <w:r>
              <w:rPr>
                <w:rFonts w:cs="Tinos" w:ascii="Tinos" w:hAnsi="Tinos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nos" w:ascii="Tinos" w:hAnsi="Tinos"/>
                <w:sz w:val="24"/>
                <w:szCs w:val="24"/>
              </w:rPr>
              <w:t>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 w:right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cs="Tinos" w:ascii="Tinos" w:hAnsi="Tinos"/>
                <w:sz w:val="24"/>
                <w:szCs w:val="24"/>
              </w:rPr>
              <w:t>Низкий риск</w:t>
            </w:r>
          </w:p>
        </w:tc>
      </w:tr>
    </w:tbl>
    <w:p>
      <w:pPr>
        <w:pStyle w:val="ConsPlusNormal"/>
        <w:ind w:firstLine="720"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Style14">
    <w:name w:val="Основной шрифт абзаца"/>
    <w:qFormat/>
    <w:rPr/>
  </w:style>
  <w:style w:type="character" w:styleId="FollowedHyperlink">
    <w:name w:val="FollowedHyperlink"/>
    <w:basedOn w:val="Style14"/>
    <w:rPr>
      <w:rFonts w:ascii="Times New Roman" w:hAnsi="Times New Roman" w:eastAsia="Times New Roman" w:cs="Times New Roman"/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LibreOffice/7.6.6.3$Linux_X86_64 LibreOffice_project/60$Build-3</Application>
  <AppVersion>15.0000</AppVersion>
  <Pages>2</Pages>
  <Words>550</Words>
  <Characters>3989</Characters>
  <CharactersWithSpaces>4520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2024-11-07T10:46:21Z</dcterms:created>
  <dc:creator/>
  <dc:description/>
  <dc:language>ru-RU</dc:language>
  <cp:lastModifiedBy/>
  <dcterms:modified xsi:type="dcterms:W3CDTF">2025-04-08T10:08:45Z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