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20"/>
        <w:jc w:val="right"/>
        <w:rPr>
          <w:rFonts w:ascii="Times New Roman" w:hAnsi="Times New Roman"/>
          <w:sz w:val="20"/>
          <w:szCs w:val="20"/>
        </w:rPr>
      </w:pPr>
      <w:r>
        <w:rPr>
          <w:rFonts w:ascii="Times New Roman" w:hAnsi="Times New Roman"/>
          <w:sz w:val="20"/>
          <w:szCs w:val="20"/>
        </w:rPr>
        <w:t xml:space="preserve">Приложение </w:t>
      </w:r>
      <w:r>
        <w:rPr>
          <w:rFonts w:ascii="Times New Roman" w:hAnsi="Times New Roman"/>
          <w:sz w:val="20"/>
          <w:szCs w:val="20"/>
        </w:rPr>
        <w:t>№ 1</w:t>
      </w:r>
    </w:p>
    <w:p>
      <w:pPr>
        <w:pStyle w:val="Style20"/>
        <w:jc w:val="center"/>
        <w:rPr/>
      </w:pPr>
      <w:hyperlink r:id="rId2">
        <w:r>
          <w:rPr/>
        </w:r>
      </w:hyperlink>
    </w:p>
    <w:p>
      <w:pPr>
        <w:pStyle w:val="Style20"/>
        <w:jc w:val="center"/>
        <w:rPr/>
      </w:pPr>
      <w:hyperlink r:id="rId3">
        <w:r>
          <w:rPr>
            <w:rFonts w:ascii="Times New Roman" w:hAnsi="Times New Roman"/>
            <w:b/>
            <w:bCs/>
            <w:sz w:val="26"/>
            <w:szCs w:val="26"/>
          </w:rPr>
          <w:t>МСП получили более 1,7 млрд рублей микрозаймов через сервис на МСП.РФ</w:t>
        </w:r>
      </w:hyperlink>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tab/>
        <w:t>Около 1,7 млрд рублей привлекли малые и средние предприятия через специальный сервис по подбору и получению финансирования в 76 государственных микрофинансовых организациях. За полгода работы было подано почти 2,5 тыс. заявок, 800 микрозаймов бизнесу уже выдано. Средняя ставка составила 6,9% годовых, что в два-три раза ниже ставок при банковском кредитовании.</w:t>
      </w:r>
    </w:p>
    <w:p>
      <w:pPr>
        <w:pStyle w:val="Style20"/>
        <w:jc w:val="both"/>
        <w:rPr>
          <w:rFonts w:ascii="Times New Roman" w:hAnsi="Times New Roman"/>
          <w:sz w:val="26"/>
          <w:szCs w:val="26"/>
        </w:rPr>
      </w:pPr>
      <w:r>
        <w:rPr>
          <w:rFonts w:ascii="Times New Roman" w:hAnsi="Times New Roman"/>
          <w:sz w:val="26"/>
          <w:szCs w:val="26"/>
        </w:rPr>
        <w:tab/>
        <w:t>«Без малого за полгода 76 государственных микрофинасовых организаций (ГМФО) из 70 регионов выдали представителям малого и среднего бизнеса почти 800 микрозаймов. Их общая сумма составила около 1,7 млрд рублей по средневзвешенной процентной ставке 6,9% годовых. Средняя сумма полученного через сервис микрозайма — 2,2 млн, средний срок — 2,5 года, — отметил генеральный директор Корпорации МСП Александр Исаевич. — Благодаря цифровизации процесса упрощено получение микрозаймов, повышена их доступность для МСП. В свою очередь государство, как и бизнес, теперь видит причины отказов в предоставлении микрофинансирования. Это помогает оценивать эффективность и востребованность данной меры господдержки».</w:t>
      </w:r>
    </w:p>
    <w:p>
      <w:pPr>
        <w:pStyle w:val="Style20"/>
        <w:jc w:val="both"/>
        <w:rPr>
          <w:rFonts w:ascii="Times New Roman" w:hAnsi="Times New Roman"/>
          <w:sz w:val="26"/>
          <w:szCs w:val="26"/>
        </w:rPr>
      </w:pPr>
      <w:r>
        <w:rPr>
          <w:rFonts w:ascii="Times New Roman" w:hAnsi="Times New Roman"/>
          <w:sz w:val="26"/>
          <w:szCs w:val="26"/>
        </w:rPr>
        <w:tab/>
        <w:t>Список лидирующих по объему выданных микрозаймов регионов возглавляет Иркутская область с общим объемов выданных через сервис на МСП.РФ микрозаймов свыше 426 млн рублей. За ними следуют Республики Башкортостан и Татарстан с показателями 202 и 179 млн рублей соответственно.</w:t>
      </w:r>
    </w:p>
    <w:p>
      <w:pPr>
        <w:pStyle w:val="Style20"/>
        <w:jc w:val="both"/>
        <w:rPr>
          <w:rFonts w:ascii="Times New Roman" w:hAnsi="Times New Roman"/>
          <w:sz w:val="26"/>
          <w:szCs w:val="26"/>
        </w:rPr>
      </w:pPr>
      <w:r>
        <w:rPr>
          <w:rFonts w:ascii="Times New Roman" w:hAnsi="Times New Roman"/>
          <w:sz w:val="26"/>
          <w:szCs w:val="26"/>
        </w:rPr>
        <w:tab/>
        <w:t>В списке лидирующих субъектов РФ также Астраханская, Ростовская и Саратовская области (объем выданных микрозаймов 161 млн, 74 млн и 70 млн рублей соответственно) и Ставропольский край (63 млн рублей). Замыкают Топ-10 регионов Орловская и Владимирская области (60 млн и 50 млн соответственно) и Республика Крым (40,6 млн рублей выданных микрозаймов).</w:t>
      </w:r>
    </w:p>
    <w:p>
      <w:pPr>
        <w:pStyle w:val="Style20"/>
        <w:jc w:val="both"/>
        <w:rPr>
          <w:rFonts w:ascii="Times New Roman" w:hAnsi="Times New Roman"/>
          <w:sz w:val="26"/>
          <w:szCs w:val="26"/>
        </w:rPr>
      </w:pPr>
      <w:r>
        <w:rPr>
          <w:rFonts w:ascii="Times New Roman" w:hAnsi="Times New Roman"/>
          <w:sz w:val="26"/>
          <w:szCs w:val="26"/>
        </w:rPr>
        <w:tab/>
        <w:t>Напомним, государственные МФО созданы для поддержки предпринимателей, а также самозанятых за счет средств федерального, регионального и местного бюджетов. Их учредителями являются регионы и муниципальные образования. ГМФО предоставляют микрозаймы на сумму до 5 млн рублей на срок до трех лет по льготным ставкам (средневзвешенная ставка в рамках 2023 года составляет 5,8%).</w:t>
      </w:r>
    </w:p>
    <w:p>
      <w:pPr>
        <w:pStyle w:val="Style20"/>
        <w:jc w:val="both"/>
        <w:rPr>
          <w:rFonts w:ascii="Times New Roman" w:hAnsi="Times New Roman"/>
          <w:sz w:val="26"/>
          <w:szCs w:val="26"/>
        </w:rPr>
      </w:pPr>
      <w:r>
        <w:rPr>
          <w:rFonts w:ascii="Times New Roman" w:hAnsi="Times New Roman"/>
          <w:sz w:val="26"/>
          <w:szCs w:val="26"/>
        </w:rPr>
        <w:tab/>
        <w:t>Цифровая платформа для малого и среднего бизнеса разработана Корпорацией МСП совместно с Минэкономразвития РФ для повышения доступности услуг и мер поддержки для малого и среднего бизнеса. Создание и развитие платформы МСП.РФ предусмотрено нацпроектом «Малое и среднее предпринимательство», который инициировал Президент Владимир Путин и курирует первый заместитель Председателя правительства РФ Андрей Белоусов.</w:t>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Style w:val="Style14"/>
        </w:rPr>
      </w:pPr>
      <w:hyperlink r:id="rId4">
        <w:r>
          <w:rPr/>
        </w:r>
      </w:hyperlink>
    </w:p>
    <w:p>
      <w:pPr>
        <w:pStyle w:val="Style20"/>
        <w:jc w:val="both"/>
        <w:rPr>
          <w:rStyle w:val="Style14"/>
        </w:rPr>
      </w:pPr>
      <w:hyperlink r:id="rId5">
        <w:r>
          <w:rPr/>
        </w:r>
      </w:hyperlink>
    </w:p>
    <w:p>
      <w:pPr>
        <w:pStyle w:val="Style20"/>
        <w:jc w:val="center"/>
        <w:rPr>
          <w:rStyle w:val="Style14"/>
          <w:rFonts w:ascii="Times New Roman" w:hAnsi="Times New Roman"/>
          <w:b/>
          <w:b/>
          <w:bCs/>
          <w:color w:val="000000"/>
          <w:sz w:val="26"/>
          <w:szCs w:val="26"/>
          <w:u w:val="none"/>
        </w:rPr>
      </w:pPr>
      <w:r>
        <w:rPr/>
      </w:r>
    </w:p>
    <w:p>
      <w:pPr>
        <w:pStyle w:val="Style20"/>
        <w:jc w:val="right"/>
        <w:rPr>
          <w:rFonts w:ascii="Times New Roman" w:hAnsi="Times New Roman"/>
          <w:sz w:val="20"/>
          <w:szCs w:val="20"/>
        </w:rPr>
      </w:pPr>
      <w:r>
        <w:rPr>
          <w:rStyle w:val="Style14"/>
          <w:rFonts w:ascii="Times New Roman" w:hAnsi="Times New Roman"/>
          <w:b w:val="false"/>
          <w:bCs w:val="false"/>
          <w:color w:val="000000"/>
          <w:sz w:val="20"/>
          <w:szCs w:val="20"/>
          <w:u w:val="none"/>
        </w:rPr>
        <w:t xml:space="preserve">Приложение </w:t>
      </w:r>
      <w:r>
        <w:rPr>
          <w:rStyle w:val="Style14"/>
          <w:rFonts w:ascii="Times New Roman" w:hAnsi="Times New Roman"/>
          <w:b w:val="false"/>
          <w:bCs w:val="false"/>
          <w:color w:val="000000"/>
          <w:sz w:val="20"/>
          <w:szCs w:val="20"/>
          <w:u w:val="none"/>
        </w:rPr>
        <w:t>№ 2</w:t>
      </w:r>
    </w:p>
    <w:p>
      <w:pPr>
        <w:pStyle w:val="Style20"/>
        <w:jc w:val="right"/>
        <w:rPr>
          <w:rStyle w:val="Style14"/>
          <w:rFonts w:ascii="Times New Roman" w:hAnsi="Times New Roman"/>
          <w:b/>
          <w:b/>
          <w:bCs/>
          <w:color w:val="000000"/>
          <w:sz w:val="20"/>
          <w:szCs w:val="20"/>
          <w:u w:val="none"/>
        </w:rPr>
      </w:pPr>
      <w:r>
        <w:rPr>
          <w:rFonts w:ascii="Times New Roman" w:hAnsi="Times New Roman"/>
          <w:sz w:val="20"/>
          <w:szCs w:val="20"/>
        </w:rPr>
      </w:r>
    </w:p>
    <w:p>
      <w:pPr>
        <w:pStyle w:val="Style20"/>
        <w:jc w:val="center"/>
        <w:rPr/>
      </w:pPr>
      <w:r>
        <w:rPr>
          <w:rStyle w:val="Style14"/>
          <w:rFonts w:ascii="Times New Roman" w:hAnsi="Times New Roman"/>
          <w:b/>
          <w:bCs/>
          <w:color w:val="000000"/>
          <w:sz w:val="26"/>
          <w:szCs w:val="26"/>
          <w:u w:val="none"/>
        </w:rPr>
        <w:t>МСП Банк и банк «Точка» синхронизировали процесс выдачи экспресс-кредитов для бизнеса</w:t>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tab/>
        <w:t>МСП Банк, дочерняя структура Корпорации МСП, и банк для предпринимателей и предприятий «Точка» реализовали межбанковскую интеграцию, позволяющую клиентам «Точки» получить экспресс-кредит от банка-партнера, не открывая в нем счет. Интеграция развернулась на базе собственной банковской лицензии «Точки».</w:t>
      </w:r>
    </w:p>
    <w:p>
      <w:pPr>
        <w:pStyle w:val="Style20"/>
        <w:jc w:val="both"/>
        <w:rPr>
          <w:rFonts w:ascii="Times New Roman" w:hAnsi="Times New Roman"/>
          <w:sz w:val="26"/>
          <w:szCs w:val="26"/>
        </w:rPr>
      </w:pPr>
      <w:r>
        <w:rPr>
          <w:rFonts w:ascii="Times New Roman" w:hAnsi="Times New Roman"/>
          <w:sz w:val="26"/>
          <w:szCs w:val="26"/>
        </w:rPr>
        <w:tab/>
        <w:t>Для того, чтобы оформить заявку на кредит от МСП Банка, клиенту «Точки» нужно выбрать на соответствующей странице своего интернет-банка иконку «МСП». Далее в самой заявке предпринимателю необходимо ввести желаемый срок и сумму кредита: от 50 тыс. до 50 млн рублей. В среднем на рассмотрение заявки уходит один рабочий день.</w:t>
      </w:r>
    </w:p>
    <w:p>
      <w:pPr>
        <w:pStyle w:val="Style20"/>
        <w:jc w:val="both"/>
        <w:rPr>
          <w:rFonts w:ascii="Times New Roman" w:hAnsi="Times New Roman"/>
          <w:sz w:val="26"/>
          <w:szCs w:val="26"/>
        </w:rPr>
      </w:pPr>
      <w:r>
        <w:rPr>
          <w:rFonts w:ascii="Times New Roman" w:hAnsi="Times New Roman"/>
          <w:sz w:val="26"/>
          <w:szCs w:val="26"/>
        </w:rPr>
        <w:tab/>
        <w:t>В рамках тестового запуска проекта уже есть одобренные заявки. Среди первых компаний, подавших заявку через ресурсы «Точки» и получивших экспресс-кредиты в МСП Банке, например, производители кухонной мебели из Архангельской области, транспортная компания из Тюменской области.</w:t>
      </w:r>
    </w:p>
    <w:p>
      <w:pPr>
        <w:pStyle w:val="Style20"/>
        <w:jc w:val="both"/>
        <w:rPr>
          <w:rFonts w:ascii="Times New Roman" w:hAnsi="Times New Roman"/>
          <w:sz w:val="26"/>
          <w:szCs w:val="26"/>
        </w:rPr>
      </w:pPr>
      <w:r>
        <w:rPr>
          <w:rFonts w:ascii="Times New Roman" w:hAnsi="Times New Roman"/>
          <w:sz w:val="26"/>
          <w:szCs w:val="26"/>
        </w:rPr>
        <w:tab/>
        <w:t>Генеральный директор Корпорации МСП, председатель наблюдательного совета МСП Банка Александр Исаевич подчеркнул, что данная интеграция даст возможность бизнесу выбирать наиболее подходящий кредит, будь то коммерческий банк или институт развития, которым является МСП Банк.</w:t>
      </w:r>
    </w:p>
    <w:p>
      <w:pPr>
        <w:pStyle w:val="Style20"/>
        <w:jc w:val="both"/>
        <w:rPr>
          <w:rFonts w:ascii="Times New Roman" w:hAnsi="Times New Roman"/>
          <w:sz w:val="26"/>
          <w:szCs w:val="26"/>
        </w:rPr>
      </w:pPr>
      <w:r>
        <w:rPr>
          <w:rFonts w:ascii="Times New Roman" w:hAnsi="Times New Roman"/>
          <w:sz w:val="26"/>
          <w:szCs w:val="26"/>
        </w:rPr>
        <w:tab/>
        <w:t>«Процесс бесшовный. Пакет документов один. Цели использования средств любые», — написал Александр Исаевич в своем Телеграм-канале.</w:t>
      </w:r>
    </w:p>
    <w:p>
      <w:pPr>
        <w:pStyle w:val="Style20"/>
        <w:jc w:val="both"/>
        <w:rPr>
          <w:rFonts w:ascii="Times New Roman" w:hAnsi="Times New Roman"/>
          <w:sz w:val="26"/>
          <w:szCs w:val="26"/>
        </w:rPr>
      </w:pPr>
      <w:r>
        <w:rPr>
          <w:rFonts w:ascii="Times New Roman" w:hAnsi="Times New Roman"/>
          <w:sz w:val="26"/>
          <w:szCs w:val="26"/>
        </w:rPr>
        <w:tab/>
        <w:t>«Интеграция с МСП Банком — это продолжение нашей концепции «Мультибанк». Она предполагает, что клиентам «Точки» не нужно открывать счета в других банках, чтобы пользоваться их продуктами. Мы переосмыслили модель потребления банковских продуктов, предоставляя клиенту различные предложения, собранные в одном месте — интерфейсе «Точки», — прокомментировал бизнес-девелопер «Точки» Роман Гайнуллин.</w:t>
      </w:r>
    </w:p>
    <w:p>
      <w:pPr>
        <w:pStyle w:val="Style20"/>
        <w:jc w:val="both"/>
        <w:rPr>
          <w:rFonts w:ascii="Times New Roman" w:hAnsi="Times New Roman"/>
          <w:sz w:val="26"/>
          <w:szCs w:val="26"/>
        </w:rPr>
      </w:pPr>
      <w:r>
        <w:rPr>
          <w:rFonts w:ascii="Times New Roman" w:hAnsi="Times New Roman"/>
          <w:sz w:val="26"/>
          <w:szCs w:val="26"/>
        </w:rPr>
        <w:tab/>
        <w:t>Напомним, МСП Банк участвует в реализации нацпроекта «Малое и среднее предпринимательство». Его инициировал Президент Владимир Путин, реализацию курирует первый заместитель председателя Правительства РФ Андрей Белоусов.</w:t>
      </w:r>
    </w:p>
    <w:p>
      <w:pPr>
        <w:pStyle w:val="Style20"/>
        <w:jc w:val="both"/>
        <w:rPr>
          <w:rFonts w:ascii="Times New Roman" w:hAnsi="Times New Roman"/>
          <w:sz w:val="26"/>
          <w:szCs w:val="26"/>
        </w:rPr>
      </w:pPr>
      <w:r>
        <w:rPr>
          <w:rFonts w:ascii="Times New Roman" w:hAnsi="Times New Roman"/>
          <w:sz w:val="26"/>
          <w:szCs w:val="26"/>
        </w:rPr>
        <w:tab/>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p>
      <w:pPr>
        <w:pStyle w:val="Style20"/>
        <w:jc w:val="both"/>
        <w:rPr>
          <w:rFonts w:ascii="Times New Roman" w:hAnsi="Times New Roman"/>
          <w:sz w:val="26"/>
          <w:szCs w:val="26"/>
        </w:rPr>
      </w:pPr>
      <w:r>
        <w:rPr>
          <w:rFonts w:ascii="Times New Roman" w:hAnsi="Times New Roman"/>
          <w:sz w:val="26"/>
          <w:szCs w:val="26"/>
        </w:rPr>
      </w:r>
    </w:p>
    <w:sectPr>
      <w:type w:val="nextPage"/>
      <w:pgSz w:w="11906" w:h="16838"/>
      <w:pgMar w:left="1701" w:right="850" w:header="0" w:top="1134" w:footer="0" w:bottom="1134"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Liberation Sans">
    <w:altName w:val="Arial"/>
    <w:charset w:val="cc"/>
    <w:family w:val="swiss"/>
    <w:pitch w:val="variable"/>
  </w:font>
  <w:font w:name="Liberation Mono">
    <w:altName w:val="Courier New"/>
    <w:charset w:val="cc"/>
    <w:family w:val="modern"/>
    <w:pitch w:val="fixed"/>
  </w:font>
  <w:font w:name="Times New Roman">
    <w:charset w:val="01"/>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unhideWhenUsed/>
    <w:qFormat/>
    <w:rPr/>
  </w:style>
  <w:style w:type="character" w:styleId="Style14">
    <w:name w:val="Интернет-ссылка"/>
    <w:basedOn w:val="DefaultParagraphFont"/>
    <w:uiPriority w:val="99"/>
    <w:unhideWhenUsed/>
    <w:rsid w:val="006327ce"/>
    <w:rPr>
      <w:color w:val="0563C1" w:themeColor="hyperlink"/>
      <w:u w:val="single"/>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Style20">
    <w:name w:val="Текст в заданном формате"/>
    <w:basedOn w:val="Normal"/>
    <w:qFormat/>
    <w:pPr>
      <w:spacing w:before="0" w:after="0"/>
    </w:pPr>
    <w:rPr>
      <w:rFonts w:ascii="Liberation Mono" w:hAnsi="Liberation Mono" w:eastAsia="Liberation Mono" w:cs="Liberation Mono"/>
      <w:sz w:val="20"/>
      <w:szCs w:val="20"/>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xn---33-9cdulgg0aog6b.xn--p1ai/news/msp-poluchili-bolee-1-7-mlrd-rubley-mikrozaymov-cherez-servis-na-msp-rf/" TargetMode="External"/><Relationship Id="rId3" Type="http://schemas.openxmlformats.org/officeDocument/2006/relationships/hyperlink" Target="https://xn---33-9cdulgg0aog6b.xn--p1ai/news/msp-poluchili-bolee-1-7-mlrd-rubley-mikrozaymov-cherez-servis-na-msp-rf/" TargetMode="External"/><Relationship Id="rId4" Type="http://schemas.openxmlformats.org/officeDocument/2006/relationships/hyperlink" Target="https://xn---33-9cdulgg0aog6b.xn--p1ai/news/msp-bank-i-bank-tochka-sinkhronizirovali-protsess-vydachi-ekspress-kreditov-dlya-biznesa/" TargetMode="External"/><Relationship Id="rId5" Type="http://schemas.openxmlformats.org/officeDocument/2006/relationships/hyperlink" Target="https://xn---33-9cdulgg0aog6b.xn--p1ai/news/msp-bank-i-bank-tochka-sinkhronizirovali-protsess-vydachi-ekspress-kreditov-dlya-biznesa/" TargetMode="Externa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Application>LibreOffice/7.0.1.2$Windows_X86_64 LibreOffice_project/7cbcfc562f6eb6708b5ff7d7397325de9e764452</Application>
  <Pages>2</Pages>
  <Words>594</Words>
  <Characters>3985</Characters>
  <CharactersWithSpaces>4584</CharactersWithSpaces>
  <Paragraphs>18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2024-03-27T10:39:00Z</dcterms:created>
  <dc:creator>О. Кузьмина</dc:creator>
  <dc:description/>
  <dc:language>ru-RU</dc:language>
  <cp:lastModifiedBy/>
  <dcterms:modified xsi:type="dcterms:W3CDTF">2024-03-27T14:18:58Z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