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9.wmf" ContentType="image/x-wmf"/>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contextualSpacing/>
        <w:jc w:val="right"/>
        <w:rPr>
          <w:rFonts w:ascii="Times New Roman" w:hAnsi="Times New Roman" w:cs="Times New Roman"/>
          <w:sz w:val="24"/>
          <w:szCs w:val="24"/>
        </w:rPr>
      </w:pPr>
      <w:r>
        <w:rPr>
          <w:rFonts w:cs="Times New Roman" w:ascii="Times New Roman" w:hAnsi="Times New Roman"/>
          <w:sz w:val="24"/>
          <w:szCs w:val="24"/>
        </w:rPr>
        <w:t xml:space="preserve">Приложение </w:t>
      </w:r>
    </w:p>
    <w:p>
      <w:pPr>
        <w:pStyle w:val="Normal"/>
        <w:spacing w:before="0" w:after="0"/>
        <w:contextualSpacing/>
        <w:jc w:val="right"/>
        <w:rPr>
          <w:rFonts w:ascii="Times New Roman" w:hAnsi="Times New Roman" w:cs="Times New Roman"/>
          <w:sz w:val="24"/>
          <w:szCs w:val="24"/>
        </w:rPr>
      </w:pPr>
      <w:r>
        <w:rPr>
          <w:rFonts w:cs="Times New Roman" w:ascii="Times New Roman" w:hAnsi="Times New Roman"/>
          <w:sz w:val="24"/>
          <w:szCs w:val="24"/>
        </w:rPr>
        <w:t xml:space="preserve">к постановлению администрации </w:t>
      </w:r>
    </w:p>
    <w:p>
      <w:pPr>
        <w:pStyle w:val="Normal"/>
        <w:spacing w:before="0" w:after="0"/>
        <w:contextualSpacing/>
        <w:jc w:val="right"/>
        <w:rPr>
          <w:rFonts w:ascii="Times New Roman" w:hAnsi="Times New Roman" w:cs="Times New Roman"/>
          <w:sz w:val="24"/>
          <w:szCs w:val="24"/>
        </w:rPr>
      </w:pPr>
      <w:r>
        <w:rPr>
          <w:rFonts w:cs="Times New Roman" w:ascii="Times New Roman" w:hAnsi="Times New Roman"/>
          <w:sz w:val="24"/>
          <w:szCs w:val="24"/>
        </w:rPr>
        <w:t>ЗАТО г. Радужный Владимирской области</w:t>
      </w:r>
    </w:p>
    <w:p>
      <w:pPr>
        <w:pStyle w:val="Normal"/>
        <w:spacing w:before="0" w:after="0"/>
        <w:contextualSpacing/>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 26.12.2017 г. № 2124</w:t>
      </w:r>
    </w:p>
    <w:p>
      <w:pPr>
        <w:pStyle w:val="Normal"/>
        <w:spacing w:before="0" w:after="0"/>
        <w:contextualSpacing/>
        <w:jc w:val="right"/>
        <w:rPr>
          <w:rFonts w:ascii="Times New Roman" w:hAnsi="Times New Roman" w:cs="Times New Roman"/>
          <w:sz w:val="24"/>
          <w:szCs w:val="24"/>
          <w:lang w:val="en-US"/>
        </w:rPr>
      </w:pPr>
      <w:r>
        <w:rPr>
          <w:rFonts w:cs="Times New Roman" w:ascii="Times New Roman" w:hAnsi="Times New Roman"/>
          <w:sz w:val="24"/>
          <w:szCs w:val="24"/>
          <w:lang w:val="en-US"/>
        </w:rPr>
        <w:t>(</w:t>
      </w:r>
      <w:r>
        <w:rPr>
          <w:rFonts w:cs="Times New Roman" w:ascii="Times New Roman" w:hAnsi="Times New Roman"/>
          <w:sz w:val="24"/>
          <w:szCs w:val="24"/>
          <w:lang w:val="ru-RU"/>
        </w:rPr>
        <w:t>в ред. от 30.12.2020 г. № 1799)</w:t>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 xml:space="preserve">ПОЛОЖЕНИЕ </w:t>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О ФОРМИРОВАНИИ МУНИЦИПАЛЬНОГО ЗАДАНИЯ НА ОКАЗАНИЕ МУНИЦИПАЛЬНЫХ УСЛУГ (ВЫПОЛНЕНИЕ РАБОТ) В ОТНОШЕНИИ МУНИЦИПАЛЬНЫХ УЧРЕЖДЕНИЙ ЗАТО г. РАДУЖНЫЙ ВЛАДИМИРСКОЙ ОБЛАСТИ И ФИНАНСОВОМ ОБЕСПЕЧЕНИИ ВЫПОЛНЕНИЯ МУНИЦИПАЛЬНОГО ЗАДАНИЯ</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6"/>
          <w:szCs w:val="26"/>
        </w:rPr>
        <w:t>1</w:t>
      </w:r>
      <w:r>
        <w:rPr>
          <w:rFonts w:cs="Times New Roman" w:ascii="Times New Roman" w:hAnsi="Times New Roman"/>
          <w:sz w:val="28"/>
          <w:szCs w:val="28"/>
        </w:rPr>
        <w:t>. Общие положения</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учреждениями, а именно: 1) муниципальными бюджетными учреждениями; 2) муниципальными автономными учреждениями, созданными на базе имущества, находящегося в муниципальной собственности;                      3) муниципальными казенными учреждениями, определенными правовыми актами главных распорядителей средств бюджета города (далее – ГРБС), в ведении которых находятся муниципальные казенные учреждения.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2. Формирование (изменение) муниципального задания</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2.1.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w:t>
      </w:r>
      <w:r>
        <w:rPr>
          <w:rFonts w:cs="Times New Roman" w:ascii="Times New Roman" w:hAnsi="Times New Roman"/>
          <w:color w:val="000000" w:themeColor="text1"/>
          <w:sz w:val="28"/>
          <w:szCs w:val="28"/>
        </w:rPr>
        <w:t>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r>
        <w:rPr>
          <w:rFonts w:cs="Times New Roman" w:ascii="Times New Roman" w:hAnsi="Times New Roman"/>
          <w:sz w:val="28"/>
          <w:szCs w:val="28"/>
        </w:rPr>
        <w:t>.</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 формировании муниципального задания применяются:                        </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общероссийские базовые (отраслевые) перечни (классификаторы) государственных и муниципальных услуг, оказываемых физическим лицам (далее - общероссийский базовый (отраслевой) перечень);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 региональные перечни (классификаторы) государственных (муниципальных) услуг, не включенные в общероссийские базовые (отраслевые) перечни (классификаторы) государственных и муниципальных услуг, и  работ.</w:t>
      </w:r>
    </w:p>
    <w:p>
      <w:pPr>
        <w:pStyle w:val="Normal"/>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Муниципальное задание формируется </w:t>
      </w:r>
      <w:r>
        <w:rPr>
          <w:rFonts w:cs="Times New Roman" w:ascii="Times New Roman" w:hAnsi="Times New Roman"/>
          <w:sz w:val="28"/>
          <w:szCs w:val="28"/>
        </w:rPr>
        <w:t>по форме согласно приложению № 1 к Положению</w:t>
      </w:r>
      <w:r>
        <w:rPr>
          <w:rFonts w:cs="Times New Roman" w:ascii="Times New Roman" w:hAnsi="Times New Roman"/>
          <w:color w:val="000000" w:themeColor="text1"/>
          <w:sz w:val="28"/>
          <w:szCs w:val="28"/>
        </w:rPr>
        <w:t xml:space="preserve">. </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 xml:space="preserve">2.2. Муниципальное задание в соответствии с бюджетным кодексом Российской Федерации содержит показатели, характеризующие качество и (или) объем (содержание) оказываемой муниципальной услуги (выполняемой работы), порядок контроля за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 определение категорий физических и (или) юридических лиц, являющихся потребителями соответствующих муниципальных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содержащих несколько разделов, каждый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 часть муниципального задания.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формировании муниципального задания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В муниципальном задании могут быть установлены допустимые (возможные) отклонения в процентах от установленных показателей качества и (или) объема, если иное не установлено правовым актом,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2.3. Муниципальное задание формируется в виде бумажного документа, в процессе формирования бюджета на очередной финансовый год и плановый период и утверждается не позднее 10 рабочих дней со дня доведения ГРБС лимитов бюджетных обязательств на финансовое обеспечение выполнения муниципального задания в отношении: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 муниципальных казенных учреждений - ГРБС, в ведении которых находятся муниципальные казенные учреждения;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 муниципальных бюджетных или автономных учреждений – органами, осуществляющими функции и полномочия учредителя.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Муниципальное задание утверждается на срок, соответствующий установленному бюджетным законодательством Российской Федерации сроку формирования бюджета города.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случае внесения изменений в показатели муниципального задания, в правовые акты, на основании которых сформировано муниципальное задание, в течение 10 рабочих дней формируется и утверждается новое муниципальное задание (с учетом внесенных изменений).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2.4. Органы, осуществляющие функции и полномочия учредителя в отношении муниципальных бюджетных учреждений и муниципальных автономных учреждений, ГРБС в отношении муниципальных казенных учреждений, обеспечивают размещение муниципальных заданий и отчетов согласно пункту 3.24 на официальном сайте</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в информационно-телекоммуникационной сети «Интернет» по адресу: </w:t>
      </w:r>
      <w:hyperlink r:id="rId2">
        <w:r>
          <w:rPr>
            <w:rFonts w:cs="Times New Roman" w:ascii="Times New Roman" w:hAnsi="Times New Roman"/>
            <w:color w:val="auto"/>
            <w:sz w:val="28"/>
            <w:szCs w:val="28"/>
          </w:rPr>
          <w:t>www.bus.gov.ru</w:t>
        </w:r>
      </w:hyperlink>
      <w:r>
        <w:rPr>
          <w:rFonts w:cs="Times New Roman" w:ascii="Times New Roman" w:hAnsi="Times New Roman"/>
          <w:sz w:val="28"/>
          <w:szCs w:val="28"/>
        </w:rPr>
        <w:t xml:space="preserve"> (далее – на официальном сайте </w:t>
      </w:r>
      <w:hyperlink r:id="rId3">
        <w:r>
          <w:rPr>
            <w:rFonts w:cs="Times New Roman" w:ascii="Times New Roman" w:hAnsi="Times New Roman"/>
            <w:color w:val="auto"/>
            <w:sz w:val="28"/>
            <w:szCs w:val="28"/>
          </w:rPr>
          <w:t>www.bus.gov.ru</w:t>
        </w:r>
      </w:hyperlink>
      <w:r>
        <w:rPr>
          <w:rFonts w:cs="Times New Roman" w:ascii="Times New Roman" w:hAnsi="Times New Roman"/>
          <w:sz w:val="28"/>
          <w:szCs w:val="28"/>
        </w:rPr>
        <w:t xml:space="preserve">). </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2.5. Муниципальные задания, формируемые по форме согласно приложениям № 1, 2 к Положению, в срок не превышающий  пяти рабочих дней с момента их утверждения размещаются на официальном сайте </w:t>
      </w:r>
      <w:hyperlink r:id="rId4">
        <w:r>
          <w:rPr>
            <w:rFonts w:cs="Times New Roman" w:ascii="Times New Roman" w:hAnsi="Times New Roman"/>
            <w:color w:val="auto"/>
            <w:sz w:val="28"/>
            <w:szCs w:val="28"/>
          </w:rPr>
          <w:t>www.bus.gov.ru</w:t>
        </w:r>
      </w:hyperlink>
      <w:r>
        <w:rPr>
          <w:rFonts w:cs="Times New Roman" w:ascii="Times New Roman" w:hAnsi="Times New Roman"/>
          <w:sz w:val="28"/>
          <w:szCs w:val="28"/>
        </w:rPr>
        <w:t>, на официальном сайте администрации города</w:t>
      </w:r>
      <w:r>
        <w:rPr>
          <w:sz w:val="28"/>
          <w:szCs w:val="28"/>
        </w:rPr>
        <w:t xml:space="preserve"> </w:t>
      </w:r>
      <w:hyperlink r:id="rId5">
        <w:r>
          <w:rPr>
            <w:rFonts w:cs="Times New Roman" w:ascii="Times New Roman" w:hAnsi="Times New Roman"/>
            <w:color w:val="auto"/>
            <w:sz w:val="28"/>
            <w:szCs w:val="28"/>
            <w:lang w:val="en-US"/>
          </w:rPr>
          <w:t>www</w:t>
        </w:r>
        <w:r>
          <w:rPr>
            <w:rFonts w:cs="Times New Roman" w:ascii="Times New Roman" w:hAnsi="Times New Roman"/>
            <w:color w:val="auto"/>
            <w:sz w:val="28"/>
            <w:szCs w:val="28"/>
          </w:rPr>
          <w:t>.</w:t>
        </w:r>
        <w:r>
          <w:rPr>
            <w:rFonts w:cs="Times New Roman" w:ascii="Times New Roman" w:hAnsi="Times New Roman"/>
            <w:color w:val="auto"/>
            <w:sz w:val="28"/>
            <w:szCs w:val="28"/>
            <w:lang w:val="en-US"/>
          </w:rPr>
          <w:t>raduzhnyi</w:t>
        </w:r>
        <w:r>
          <w:rPr>
            <w:rFonts w:cs="Times New Roman" w:ascii="Times New Roman" w:hAnsi="Times New Roman"/>
            <w:color w:val="auto"/>
            <w:sz w:val="28"/>
            <w:szCs w:val="28"/>
          </w:rPr>
          <w:t>-</w:t>
        </w:r>
        <w:r>
          <w:rPr>
            <w:rFonts w:cs="Times New Roman" w:ascii="Times New Roman" w:hAnsi="Times New Roman"/>
            <w:color w:val="auto"/>
            <w:sz w:val="28"/>
            <w:szCs w:val="28"/>
            <w:lang w:val="en-US"/>
          </w:rPr>
          <w:t>city</w:t>
        </w:r>
        <w:r>
          <w:rPr>
            <w:rFonts w:cs="Times New Roman" w:ascii="Times New Roman" w:hAnsi="Times New Roman"/>
            <w:color w:val="auto"/>
            <w:sz w:val="28"/>
            <w:szCs w:val="28"/>
          </w:rPr>
          <w:t>.</w:t>
        </w:r>
        <w:r>
          <w:rPr>
            <w:rFonts w:cs="Times New Roman" w:ascii="Times New Roman" w:hAnsi="Times New Roman"/>
            <w:color w:val="auto"/>
            <w:sz w:val="28"/>
            <w:szCs w:val="28"/>
            <w:lang w:val="en-US"/>
          </w:rPr>
          <w:t>ru</w:t>
        </w:r>
      </w:hyperlink>
      <w:r>
        <w:rPr>
          <w:rFonts w:cs="Times New Roman" w:ascii="Times New Roman" w:hAnsi="Times New Roman"/>
          <w:sz w:val="28"/>
          <w:szCs w:val="28"/>
        </w:rPr>
        <w:t>,</w:t>
      </w:r>
      <w:r>
        <w:rPr>
          <w:sz w:val="28"/>
          <w:szCs w:val="28"/>
        </w:rPr>
        <w:t xml:space="preserve"> </w:t>
      </w:r>
      <w:r>
        <w:rPr>
          <w:rFonts w:cs="Times New Roman" w:ascii="Times New Roman" w:hAnsi="Times New Roman"/>
          <w:sz w:val="28"/>
          <w:szCs w:val="28"/>
        </w:rPr>
        <w:t xml:space="preserve"> а также могут быть размещены на официальных сайтах в информационно-телекоммуникационной сети «Интернет» органов, осуществляющих функции и полномочия учредителя, ГРБС и на официальных сайтах муниципальных учреждений.</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3. Финансовое обеспечение выполнения муниципального задания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3.2. Объем финансового обеспечения выполнения муниципального задания (R) рассчитывается по формуле:</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firstLine="709"/>
        <w:jc w:val="center"/>
        <w:rPr>
          <w:rFonts w:ascii="Times New Roman" w:hAnsi="Times New Roman" w:cs="Times New Roman"/>
          <w:sz w:val="24"/>
          <w:szCs w:val="24"/>
        </w:rPr>
      </w:pPr>
      <w:bookmarkStart w:id="0" w:name="P74"/>
      <w:bookmarkEnd w:id="0"/>
      <w:r>
        <w:rPr/>
        <w:drawing>
          <wp:inline distT="0" distB="0" distL="0" distR="0">
            <wp:extent cx="4242435" cy="414655"/>
            <wp:effectExtent l="0" t="0" r="0" b="0"/>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6"/>
                    <a:stretch>
                      <a:fillRect/>
                    </a:stretch>
                  </pic:blipFill>
                  <pic:spPr bwMode="auto">
                    <a:xfrm>
                      <a:off x="0" y="0"/>
                      <a:ext cx="4242435" cy="414655"/>
                    </a:xfrm>
                    <a:prstGeom prst="rect">
                      <a:avLst/>
                    </a:prstGeom>
                  </pic:spPr>
                </pic:pic>
              </a:graphicData>
            </a:graphic>
          </wp:inline>
        </w:drawing>
      </w:r>
      <w:r>
        <w:rPr>
          <w:rFonts w:cs="Times New Roman" w:ascii="Times New Roman" w:hAnsi="Times New Roman"/>
          <w:sz w:val="24"/>
          <w:szCs w:val="24"/>
        </w:rPr>
        <w:t xml:space="preserve">, </w:t>
      </w:r>
    </w:p>
    <w:p>
      <w:pPr>
        <w:pStyle w:val="ConsPlusNormal"/>
        <w:spacing w:lineRule="auto" w:line="276"/>
        <w:ind w:firstLine="709"/>
        <w:rPr>
          <w:rFonts w:ascii="Times New Roman" w:hAnsi="Times New Roman" w:cs="Times New Roman"/>
          <w:sz w:val="28"/>
          <w:szCs w:val="28"/>
        </w:rPr>
      </w:pPr>
      <w:r>
        <w:rPr>
          <w:rFonts w:cs="Times New Roman" w:ascii="Times New Roman" w:hAnsi="Times New Roman"/>
          <w:sz w:val="24"/>
          <w:szCs w:val="24"/>
        </w:rPr>
        <w:t>где:</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drawing>
          <wp:inline distT="0" distB="0" distL="0" distR="0">
            <wp:extent cx="209550" cy="247650"/>
            <wp:effectExtent l="0" t="0" r="0" b="0"/>
            <wp:docPr id="2" name="Рисунок 5" descr="base_23624_9100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base_23624_91000_10"/>
                    <pic:cNvPicPr>
                      <a:picLocks noChangeAspect="1" noChangeArrowheads="1"/>
                    </pic:cNvPicPr>
                  </pic:nvPicPr>
                  <pic:blipFill>
                    <a:blip r:embed="rId7"/>
                    <a:stretch>
                      <a:fillRect/>
                    </a:stretch>
                  </pic:blipFill>
                  <pic:spPr bwMode="auto">
                    <a:xfrm>
                      <a:off x="0" y="0"/>
                      <a:ext cx="209550" cy="24765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нормативные затраты на оказание i-й муниципальной услуги, включенной в общероссийский базовый (отраслевой) перечень или региональный перечень;</w:t>
      </w:r>
    </w:p>
    <w:p>
      <w:pPr>
        <w:pStyle w:val="ConsPlusNormal"/>
        <w:spacing w:lineRule="auto" w:line="276"/>
        <w:ind w:firstLine="709"/>
        <w:jc w:val="both"/>
        <w:rPr>
          <w:rFonts w:ascii="Times New Roman" w:hAnsi="Times New Roman" w:cs="Times New Roman"/>
          <w:sz w:val="28"/>
          <w:szCs w:val="28"/>
        </w:rPr>
      </w:pPr>
      <w:r>
        <w:rPr/>
        <w:drawing>
          <wp:inline distT="0" distB="0" distL="0" distR="0">
            <wp:extent cx="171450" cy="247650"/>
            <wp:effectExtent l="0" t="0" r="0" b="0"/>
            <wp:docPr id="3" name="Рисунок 6" descr="base_23624_91000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 descr="base_23624_91000_11"/>
                    <pic:cNvPicPr>
                      <a:picLocks noChangeAspect="1" noChangeArrowheads="1"/>
                    </pic:cNvPicPr>
                  </pic:nvPicPr>
                  <pic:blipFill>
                    <a:blip r:embed="rId8"/>
                    <a:stretch>
                      <a:fillRect/>
                    </a:stretch>
                  </pic:blipFill>
                  <pic:spPr bwMode="auto">
                    <a:xfrm>
                      <a:off x="0" y="0"/>
                      <a:ext cx="171450" cy="24765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xml:space="preserve">- объем i-й муниципальной услуги, установленной муниципальным заданием; </w:t>
      </w:r>
    </w:p>
    <w:p>
      <w:pPr>
        <w:pStyle w:val="Normal"/>
        <w:spacing w:lineRule="auto" w:line="240" w:before="0" w:after="0"/>
        <w:ind w:firstLine="540"/>
        <w:jc w:val="both"/>
        <w:rPr>
          <w:rFonts w:ascii="Times New Roman" w:hAnsi="Times New Roman" w:cs="Times New Roman"/>
          <w:sz w:val="28"/>
          <w:szCs w:val="28"/>
        </w:rPr>
      </w:pPr>
      <w:bookmarkStart w:id="1" w:name="P81"/>
      <w:bookmarkEnd w:id="1"/>
      <w:r>
        <w:rPr/>
        <mc:AlternateContent>
          <mc:Choice Requires="wps">
            <w:drawing>
              <wp:inline distT="0" distB="0" distL="0" distR="0">
                <wp:extent cx="245110" cy="245110"/>
                <wp:effectExtent l="0" t="0" r="0" b="0"/>
                <wp:docPr id="4" name="Рисунок 7"/>
                <a:graphic xmlns:a="http://schemas.openxmlformats.org/drawingml/2006/main">
                  <a:graphicData uri="http://schemas.openxmlformats.org/drawingml/2006/picture">
                    <pic:pic xmlns:pic="http://schemas.openxmlformats.org/drawingml/2006/picture">
                      <pic:nvPicPr>
                        <pic:cNvPr id="0" name="Рисунок 7" descr=""/>
                        <pic:cNvPicPr/>
                      </pic:nvPicPr>
                      <pic:blipFill>
                        <a:blip r:embed="rId9"/>
                        <a:stretch/>
                      </pic:blipFill>
                      <pic:spPr>
                        <a:xfrm>
                          <a:off x="0" y="0"/>
                          <a:ext cx="244440" cy="24444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7" stroked="f" style="position:absolute;margin-left:0pt;margin-top:-19.3pt;width:19.2pt;height:19.2pt;mso-wrap-style:none;v-text-anchor:middle;mso-position-vertical:top" type="shapetype_75">
                <v:imagedata r:id="rId10" o:detectmouseclick="t"/>
                <v:stroke color="#3465a4" joinstyle="round" endcap="flat"/>
                <w10:wrap type="none"/>
              </v:shape>
            </w:pict>
          </mc:Fallback>
        </mc:AlternateContent>
      </w:r>
      <w:r>
        <w:rPr>
          <w:rFonts w:cs="Times New Roman" w:ascii="Times New Roman" w:hAnsi="Times New Roman"/>
          <w:sz w:val="28"/>
          <w:szCs w:val="28"/>
        </w:rPr>
        <w:t xml:space="preserve"> </w:t>
      </w:r>
      <w:r>
        <w:rPr>
          <w:rFonts w:cs="Times New Roman" w:ascii="Times New Roman" w:hAnsi="Times New Roman"/>
          <w:sz w:val="28"/>
          <w:szCs w:val="28"/>
        </w:rPr>
        <w:t>- нормативные затраты на выполнение w-й муниципальной работы, включенной в региональный перечень;</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w</w:t>
      </w:r>
      <w:r>
        <w:rPr>
          <w:rFonts w:cs="Times New Roman" w:ascii="Times New Roman" w:hAnsi="Times New Roman"/>
          <w:sz w:val="28"/>
          <w:szCs w:val="28"/>
        </w:rPr>
        <w:t xml:space="preserve"> - объем w-й муниципальной работы, установленной муниципальным заданием;</w:t>
      </w:r>
    </w:p>
    <w:p>
      <w:pPr>
        <w:pStyle w:val="ConsPlusNormal"/>
        <w:spacing w:lineRule="auto" w:line="276"/>
        <w:ind w:firstLine="709"/>
        <w:jc w:val="both"/>
        <w:rPr>
          <w:rFonts w:ascii="Times New Roman" w:hAnsi="Times New Roman" w:cs="Times New Roman"/>
          <w:sz w:val="28"/>
          <w:szCs w:val="28"/>
        </w:rPr>
      </w:pPr>
      <w:r>
        <w:rPr/>
        <w:drawing>
          <wp:inline distT="0" distB="0" distL="0" distR="0">
            <wp:extent cx="171450" cy="247650"/>
            <wp:effectExtent l="0" t="0" r="0" b="0"/>
            <wp:docPr id="5" name="Рисунок 8" descr="base_23624_91000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base_23624_91000_13"/>
                    <pic:cNvPicPr>
                      <a:picLocks noChangeAspect="1" noChangeArrowheads="1"/>
                    </pic:cNvPicPr>
                  </pic:nvPicPr>
                  <pic:blipFill>
                    <a:blip r:embed="rId11"/>
                    <a:stretch>
                      <a:fillRect/>
                    </a:stretch>
                  </pic:blipFill>
                  <pic:spPr bwMode="auto">
                    <a:xfrm>
                      <a:off x="0" y="0"/>
                      <a:ext cx="171450" cy="24765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размер платы (тариф, цена) за оказание i-й муниципальной услуги, установленной муниципальным заданием;</w:t>
      </w:r>
    </w:p>
    <w:p>
      <w:pPr>
        <w:pStyle w:val="Normal"/>
        <w:spacing w:lineRule="auto" w:line="240" w:before="0" w:after="0"/>
        <w:ind w:firstLine="540"/>
        <w:jc w:val="both"/>
        <w:rPr>
          <w:rFonts w:ascii="Times New Roman" w:hAnsi="Times New Roman" w:cs="Times New Roman"/>
          <w:i/>
          <w:i/>
          <w:sz w:val="24"/>
          <w:szCs w:val="24"/>
        </w:rPr>
      </w:pPr>
      <w:r>
        <w:rPr/>
      </w:r>
      <m:oMath xmlns:m="http://schemas.openxmlformats.org/officeDocument/2006/math">
        <m:sSub>
          <m:e>
            <m:r>
              <w:rPr>
                <w:rFonts w:ascii="Cambria Math" w:hAnsi="Cambria Math"/>
              </w:rPr>
              <m:t xml:space="preserve">N</m:t>
            </m:r>
          </m:e>
          <m:sub>
            <m:r>
              <w:rPr>
                <w:rFonts w:ascii="Cambria Math" w:hAnsi="Cambria Math"/>
              </w:rPr>
              <m:t xml:space="preserve">ун</m:t>
            </m:r>
          </m:sub>
        </m:sSub>
      </m:oMath>
      <w:r>
        <w:rPr>
          <w:rFonts w:cs="Times New Roman" w:ascii="Times New Roman" w:hAnsi="Times New Roman"/>
          <w:sz w:val="28"/>
          <w:szCs w:val="28"/>
        </w:rPr>
        <w:t>- затраты на уплату налогов, в качестве объекта налогообложения по которым признается имущество учреждения;</w:t>
      </w:r>
    </w:p>
    <w:p>
      <w:pPr>
        <w:pStyle w:val="Normal"/>
        <w:spacing w:lineRule="auto" w:line="240" w:before="0" w:after="0"/>
        <w:ind w:firstLine="540"/>
        <w:jc w:val="both"/>
        <w:rPr>
          <w:rFonts w:ascii="Times New Roman" w:hAnsi="Times New Roman" w:cs="Times New Roman"/>
          <w:i/>
          <w:i/>
          <w:sz w:val="24"/>
          <w:szCs w:val="24"/>
        </w:rPr>
      </w:pPr>
      <w:r>
        <w:rPr/>
      </w:r>
      <m:oMath xmlns:m="http://schemas.openxmlformats.org/officeDocument/2006/math">
        <m:sSub>
          <m:e>
            <m:r>
              <w:rPr>
                <w:rFonts w:ascii="Cambria Math" w:hAnsi="Cambria Math"/>
              </w:rPr>
              <m:t xml:space="preserve">N</m:t>
            </m:r>
          </m:e>
          <m:sub>
            <m:r>
              <w:rPr>
                <w:rFonts w:ascii="Cambria Math" w:hAnsi="Cambria Math"/>
              </w:rPr>
              <m:t xml:space="preserve">си</m:t>
            </m:r>
          </m:sub>
        </m:sSub>
      </m:oMath>
      <w:r>
        <w:rPr>
          <w:rFonts w:cs="Times New Roman" w:ascii="Times New Roman" w:hAnsi="Times New Roman"/>
          <w:sz w:val="28"/>
          <w:szCs w:val="28"/>
        </w:rPr>
        <w:t xml:space="preserve">-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 </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3.3. Нормативные затраты на оказание муниципальной услуги </w:t>
      </w:r>
      <w:r>
        <w:rPr>
          <w:rFonts w:cs="Times New Roman" w:ascii="Times New Roman" w:hAnsi="Times New Roman"/>
          <w:b/>
          <w:sz w:val="28"/>
          <w:szCs w:val="28"/>
        </w:rPr>
        <w:t>(</w:t>
      </w:r>
      <w:r>
        <w:rPr/>
      </w:r>
      <m:oMath xmlns:m="http://schemas.openxmlformats.org/officeDocument/2006/math">
        <m:sSub>
          <m:e>
            <m:r>
              <w:rPr>
                <w:rFonts w:ascii="Cambria Math" w:hAnsi="Cambria Math"/>
              </w:rPr>
              <m:t xml:space="preserve">N</m:t>
            </m:r>
          </m:e>
          <m:sub>
            <m:r>
              <w:rPr>
                <w:rFonts w:ascii="Cambria Math" w:hAnsi="Cambria Math"/>
              </w:rPr>
              <m:t xml:space="preserve">i</m:t>
            </m:r>
          </m:sub>
        </m:sSub>
      </m:oMath>
      <w:r>
        <w:rPr>
          <w:rFonts w:cs="Times New Roman" w:ascii="Times New Roman" w:hAnsi="Times New Roman"/>
          <w:b/>
          <w:sz w:val="28"/>
          <w:szCs w:val="28"/>
        </w:rPr>
        <w:t xml:space="preserve">) </w:t>
      </w:r>
      <w:r>
        <w:rPr>
          <w:rFonts w:cs="Times New Roman" w:ascii="Times New Roman" w:hAnsi="Times New Roman"/>
          <w:sz w:val="28"/>
          <w:szCs w:val="28"/>
        </w:rPr>
        <w:t xml:space="preserve">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муниципального задания на оказание государственных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 - правовому регулированию в установленной сфере деятельности.  </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Значения нормативных затрат на оказание муниципальной услуги утверждаются в отношении муниципальных бюджетных и автономных учреждений, а так же в отношении муниципальных казенных учреждений правовым актом органа, осуществляющего функции и полномочия учредителя.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3.4. Базовый норматив затрат на оказание муниципальной услуги состоит из базового норматива: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затрат, непосредственно связанных с оказанием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затрат на общехозяйственные нужды на оказание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(отраслевом) перечне (далее – показатели отраслевой специфики), отраслевой корректирующий коэффициент при которых принимает значение, равное «1». </w:t>
      </w:r>
    </w:p>
    <w:p>
      <w:pPr>
        <w:pStyle w:val="ConsPlusNormal"/>
        <w:spacing w:lineRule="auto" w:line="276"/>
        <w:ind w:firstLine="540"/>
        <w:jc w:val="both"/>
        <w:rPr>
          <w:rFonts w:ascii="Times New Roman" w:hAnsi="Times New Roman" w:eastAsia="Calibri" w:cs="Times New Roman" w:eastAsiaTheme="minorHAnsi"/>
          <w:sz w:val="28"/>
          <w:szCs w:val="28"/>
          <w:lang w:eastAsia="en-US"/>
        </w:rPr>
      </w:pPr>
      <w:r>
        <w:rPr>
          <w:rFonts w:cs="Times New Roman" w:ascii="Times New Roman" w:hAnsi="Times New Roman"/>
          <w:sz w:val="28"/>
          <w:szCs w:val="28"/>
        </w:rPr>
        <w:t xml:space="preserve">3.5. </w:t>
      </w:r>
      <w:r>
        <w:rPr>
          <w:rFonts w:eastAsia="Calibri" w:cs="Times New Roman" w:ascii="Times New Roman" w:hAnsi="Times New Roman" w:eastAsiaTheme="minorHAnsi"/>
          <w:sz w:val="28"/>
          <w:szCs w:val="28"/>
          <w:lang w:eastAsia="en-US"/>
        </w:rPr>
        <w:t>При определении базового норматива затрат применяются нормы материальных, технических и трудовых ресурсов, используемые для оказания муниципальной  услуги, установленные нормативными правовыми актами Российской Федерации, Владимирской области, правовыми актами органов местного самоуправления, строительными нормами и правилами, санитарными нормами и правилами, стандартами, порядками и регламентами оказания государственных (муниципальных)  услуг в установленной сфере (далее - стандарты услуги).</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3.6. В базовый норматив затрат, непосредственно связанных с оказанием муниципальной услуги, включаются:</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оплату труда и начисления на выплаты по оплате труда работников, непосредственно связанных с оказанием муниципальной услуги, включая страховые взносы на пенсионное обеспечение обязательного медицинского страхования, социального страхования Российской Федерации,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иные затраты, непосредственно связанные с оказанием муниципальной услуги.</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3.7. В базовый норматив затрат на общехозяйственные нужды для муниципальной услуги включаются:</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коммунальные услуги;</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содержание объектов недвижимого имущества, а также затраты на аренду указанного имущества;</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содержание объектов особо ценного движимого имущества, а также затраты на аренду указанного имущества;</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приобретение услуг связи;</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приобретение транспортных услуг;</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прочие общехозяйственные нужды.</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В затраты, указанные в абзацах втором – четвертом настоящего пункта, включаются затраты на оказание муниципальной услуги в отношении имущества учреждения, используемого</w:t>
      </w:r>
      <w:r>
        <w:rPr>
          <w:rFonts w:cs="Times New Roman" w:ascii="Times New Roman" w:hAnsi="Times New Roman"/>
          <w:color w:val="000000" w:themeColor="text1"/>
          <w:sz w:val="28"/>
          <w:szCs w:val="28"/>
        </w:rPr>
        <w:t>,</w:t>
      </w:r>
      <w:r>
        <w:rPr>
          <w:rFonts w:cs="Times New Roman" w:ascii="Times New Roman" w:hAnsi="Times New Roman"/>
          <w:sz w:val="28"/>
          <w:szCs w:val="28"/>
        </w:rPr>
        <w:t xml:space="preserve"> в том числе на основании договора аренды (финансовой аренды) или договора безвозмездного пользования для выполнения муниципального задания </w:t>
      </w:r>
      <w:r>
        <w:rPr>
          <w:rFonts w:cs="Times New Roman" w:ascii="Times New Roman" w:hAnsi="Times New Roman"/>
          <w:color w:val="000000" w:themeColor="text1"/>
          <w:sz w:val="28"/>
          <w:szCs w:val="28"/>
        </w:rPr>
        <w:t>и общехозяйственных нужд</w:t>
      </w:r>
      <w:r>
        <w:rPr>
          <w:rFonts w:cs="Times New Roman" w:ascii="Times New Roman" w:hAnsi="Times New Roman"/>
          <w:sz w:val="28"/>
          <w:szCs w:val="28"/>
        </w:rPr>
        <w:t xml:space="preserve"> (далее – имущество, необходимое для выполнения муниципального задания).</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3.8. Значение базового норматива затрат на оказание муниципальной услуги утверждается правовым актом органа, осуществляющего функции и полномочия учредителя, общей суммой, в том числе с выделением:</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3.9.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отраслевого(ых) корректирующего(их) коэффициента(тов).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3.10.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Значение территориального корректирующего коэффициента по ЗАТО       г. Радужный считать равным 1.</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3.11.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Значение отраслевого корректирующего коэффициента утверждается правовым актом органа, осуществляющего функции и полномочия учредителя.</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3.12. Значения базовых нормативов затрат на оказание муниципальных услуг и отраслевых корректирующих коэффициентов подлежат размещению на официальном сайте </w:t>
      </w:r>
      <w:hyperlink r:id="rId12">
        <w:r>
          <w:rPr>
            <w:rFonts w:cs="Times New Roman" w:ascii="Times New Roman" w:hAnsi="Times New Roman"/>
            <w:sz w:val="28"/>
            <w:szCs w:val="28"/>
          </w:rPr>
          <w:t>www.bus.gov.ru</w:t>
        </w:r>
      </w:hyperlink>
      <w:r>
        <w:rPr>
          <w:rFonts w:cs="Times New Roman" w:ascii="Times New Roman" w:hAnsi="Times New Roman"/>
          <w:sz w:val="28"/>
          <w:szCs w:val="28"/>
        </w:rPr>
        <w:t>.</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xml:space="preserve">3.13. Нормативные затраты на выполнение работ </w:t>
      </w:r>
      <w:r>
        <w:rPr>
          <w:rFonts w:cs="Times New Roman" w:ascii="Times New Roman" w:hAnsi="Times New Roman"/>
          <w:b/>
          <w:sz w:val="28"/>
          <w:szCs w:val="28"/>
        </w:rPr>
        <w:t>(</w:t>
      </w:r>
      <w:r>
        <w:rPr/>
      </w:r>
      <m:oMath xmlns:m="http://schemas.openxmlformats.org/officeDocument/2006/math">
        <m:sSub>
          <m:e>
            <m:r>
              <w:rPr>
                <w:rFonts w:ascii="Cambria Math" w:hAnsi="Cambria Math"/>
              </w:rPr>
              <m:t xml:space="preserve">N</m:t>
            </m:r>
          </m:e>
          <m:sub>
            <m:r>
              <w:rPr>
                <w:rFonts w:ascii="Cambria Math" w:hAnsi="Cambria Math"/>
              </w:rPr>
              <m:t xml:space="preserve">w</m:t>
            </m:r>
          </m:sub>
        </m:sSub>
      </m:oMath>
      <w:r>
        <w:rPr>
          <w:rFonts w:cs="Times New Roman" w:ascii="Times New Roman" w:hAnsi="Times New Roman"/>
          <w:b/>
          <w:sz w:val="28"/>
          <w:szCs w:val="28"/>
        </w:rPr>
        <w:t>)</w:t>
      </w:r>
      <w:r>
        <w:rPr>
          <w:rFonts w:cs="Times New Roman" w:ascii="Times New Roman" w:hAnsi="Times New Roman"/>
          <w:sz w:val="28"/>
          <w:szCs w:val="28"/>
        </w:rPr>
        <w:t xml:space="preserve">определяются при расчете объема финансового обеспечения выполнения муниципального задания в порядке, установленном правовым актом органа, осуществляющего функции и полномочия учредителя в отношении муниципальных бюджетных и автономных учреждений, а так же по решению ГРБС, в ведении которого находятся казенные учреждения.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3.14.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В нормативные затраты на выполнение работы включаются:</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затраты на оплату труда с начислениями работников, непосредственно связанных с выполнением муниципальной работы;</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иные расходы, непосредственно связанные с выполнением работы;</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оплату коммунальных услуг;</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содержание объектов особо ценного движимого имущества,  необходимого для выполнения муниципального задания, а также затраты на аренду указанного имущества;</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приобретение услуг связи;</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приобретение транспортных услуг;</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оплату труда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затраты на прочие общехозяйственные нужды.</w:t>
      </w:r>
    </w:p>
    <w:p>
      <w:pPr>
        <w:pStyle w:val="ConsPlusNormal"/>
        <w:spacing w:lineRule="auto" w:line="276"/>
        <w:ind w:firstLine="540"/>
        <w:jc w:val="both"/>
        <w:rPr>
          <w:rFonts w:ascii="Times New Roman" w:hAnsi="Times New Roman" w:eastAsia="Calibri" w:cs="Times New Roman" w:eastAsiaTheme="minorHAnsi"/>
          <w:sz w:val="28"/>
          <w:szCs w:val="28"/>
          <w:lang w:eastAsia="en-US"/>
        </w:rPr>
      </w:pPr>
      <w:r>
        <w:rPr>
          <w:rFonts w:cs="Times New Roman" w:ascii="Times New Roman" w:hAnsi="Times New Roman"/>
          <w:sz w:val="28"/>
          <w:szCs w:val="28"/>
        </w:rPr>
        <w:t xml:space="preserve">При определении нормативных затрат на выполнение работ применяются </w:t>
      </w:r>
      <w:r>
        <w:rPr>
          <w:rFonts w:eastAsia="Calibri" w:cs="Times New Roman" w:ascii="Times New Roman" w:hAnsi="Times New Roman" w:eastAsiaTheme="minorHAnsi"/>
          <w:sz w:val="28"/>
          <w:szCs w:val="28"/>
          <w:lang w:eastAsia="en-US"/>
        </w:rPr>
        <w:t>показатели материальных, технических и трудовых ресурсов, используемые для выполнения работы, установленные нормативными правовыми актами Российской Федерации, Владимирской области, правовыми актами органов местного самоуправления,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3.15. Затраты на уплату налогов, в качестве объекта налогообложения по которым признается имущество учреждения, рассчитываются в соответствии с законодательством Российской Федерации.</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В случае, если муниципальное бюджетное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финансового обеспечения выполнения муниципального задания, полученных из бюджета города в отчетном финансовом году на указанные цели, к общей сумме, включающей планируемые поступления от финансового обеспечения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xml:space="preserve">При расчете коэффициента платной деятельности не учитываются поступления в виде целевых субсидий, представляемых из федерального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федерального имущества, переданного в аренду (безвозмездное пользование). </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xml:space="preserve">3.16. Затраты на содержание не используемого для выполнения муниципального задания на оказание муниципальных услуг (выполнение работ) имущества муниципального бюджетного (автономного) учреждения </w:t>
      </w:r>
      <w:r>
        <w:rPr>
          <w:rFonts w:cs="Times New Roman" w:ascii="Times New Roman" w:hAnsi="Times New Roman"/>
          <w:b/>
          <w:sz w:val="28"/>
          <w:szCs w:val="28"/>
        </w:rPr>
        <w:t>(</w:t>
      </w:r>
      <w:r>
        <w:rPr/>
      </w:r>
      <m:oMath xmlns:m="http://schemas.openxmlformats.org/officeDocument/2006/math">
        <m:sSub>
          <m:e>
            <m:r>
              <w:rPr>
                <w:rFonts w:ascii="Cambria Math" w:hAnsi="Cambria Math"/>
              </w:rPr>
              <m:t xml:space="preserve">N</m:t>
            </m:r>
          </m:e>
          <m:sub>
            <m:r>
              <w:rPr>
                <w:rFonts w:ascii="Cambria Math" w:hAnsi="Cambria Math"/>
              </w:rPr>
              <m:t xml:space="preserve">си</m:t>
            </m:r>
          </m:sub>
        </m:sSub>
      </m:oMath>
      <w:r>
        <w:rPr>
          <w:rFonts w:cs="Times New Roman" w:ascii="Times New Roman" w:hAnsi="Times New Roman"/>
          <w:b/>
          <w:sz w:val="28"/>
          <w:szCs w:val="28"/>
        </w:rPr>
        <w:t>)</w:t>
      </w:r>
      <w:r>
        <w:rPr>
          <w:rFonts w:cs="Times New Roman" w:ascii="Times New Roman" w:hAnsi="Times New Roman"/>
          <w:sz w:val="28"/>
          <w:szCs w:val="28"/>
        </w:rPr>
        <w:t xml:space="preserve"> рассчитываются с учетом затрат на коммунальные услуги в размере:</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- 10% объема затрат на потребление электрической энергии, рассчитанного пропорционально площади неиспользуемого имущества;</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- 50%. объема затрат на потребление тепловой энергии, рассчитанного пропорционально площади неиспользуемого имущества.</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xml:space="preserve">3.17. Затраты на содержание не используемого для выполнения муниципального задания имущества муниципального бюджетного (автономного) учреждения включаются в объем финансового обеспечения выполнения муниципального задания в случае наличия указанного имущества по решению органа, осуществляющего функции и полномочия учредителя. </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В случае, если муниципальное бюджетное (автономное) учреждение оказывает платную деятельность сверх установленного муниципального задания, затраты, указанные в пункте 3.16. настоящего Положения, рассчитываются с применением коэффициента платной деятельности.</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Значения затрат на содержание не используемого для выполнения муниципального задания имущества муниципального бюджетного (автономного) учреждения утверждаются муниципальным правовым актом органа, осуществляющего функции и полномочия учредителя.</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3.18. В случае, если муниципальное бюджетное (автономное) учреждение осуществляет платную деятельность в рамках установленного муниципального задания, по которой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3.19. Нормативные затраты, определяемые в соответствии с настоящим Положением, учитываются при формировании обоснований бюджетных ассигнований бюджета города на очередной финансовый год и плановый период.</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3.20. Финансовое обеспечение выполнения муниципального задания осуществляется в пределах бюджетных ассигнований, предусмотренных в бюджете города на указанные цели, путем предоставления субсидии муниципальным бюджетным (автономным) учреждениям (далее – субсидия) или в соответствии с показателями бюджетной сметы муниципальных казенных учреждений.</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3.21. Уменьшение объема субсидии, предоставленной из бюджета города муниципальному бюджетному (автономному) учреждению, в течение срока выполнения муниципального задания осуществляется только при соответствующем изменении муниципального задания.</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необходимости)в случаях, предусмотренных нормативными правовыми актами Российской Федерации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 </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Объем субсидии может быть увеличен в течение срока выполнения муниципального задания в случае изменения законодательства Российской Федерации о налогах и сборах, в том числе в случае отмены ранее установленных налоговых льгот.</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муниципальными бюджетными (автономными) учреждениями в бюджет города и учитываются в порядке, установленном для учета сумм возврата дебиторской задолженности.</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 </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3.22. Предоставление муниципальному бюджетному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заключенного с  органом, осуществляющим функции и полномочия учредителя (далее – Соглашение). При заключении Соглашения следует руководствоваться типовой формой </w:t>
      </w:r>
      <w:hyperlink r:id="rId13">
        <w:r>
          <w:rPr>
            <w:rFonts w:cs="Times New Roman" w:ascii="Times New Roman" w:hAnsi="Times New Roman"/>
            <w:sz w:val="28"/>
            <w:szCs w:val="28"/>
          </w:rPr>
          <w:t>соглашения</w:t>
        </w:r>
      </w:hyperlink>
      <w:r>
        <w:rPr>
          <w:rFonts w:cs="Times New Roman" w:ascii="Times New Roman" w:hAnsi="Times New Roman"/>
          <w:sz w:val="28"/>
          <w:szCs w:val="28"/>
        </w:rPr>
        <w:t xml:space="preserve"> о предоставлении субсидии, утвержденной приказом Министерства финансов Российской Федерации от 31.10.2016 N 198н "Об утверждении Типовой формы 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Перечисление субсидии осуществляется в соответствии с графиком, содержащимся в Соглашении, не реже одного раза в квартал в сумме, не превышающей:</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t>- 25 процентов годового размера субсидии в течение I квартала;</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t>- 50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t>- 75 процентов годового размера субсидии в течение 9 месяцев.</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3.23. Перечисление платежа, завершающего выплату субсидии                       в IV квартале, должно осуществляться после предоставления муниципальным бюджетным (автономным) учреждением предварительного отчета о выполнении муниципального задания за соответствующий финансовый год, составленного по форме, аналогичной форме </w:t>
      </w:r>
      <w:hyperlink r:id="rId14">
        <w:r>
          <w:rPr>
            <w:rFonts w:cs="Times New Roman" w:ascii="Times New Roman" w:hAnsi="Times New Roman"/>
            <w:sz w:val="28"/>
            <w:szCs w:val="28"/>
          </w:rPr>
          <w:t>отчета</w:t>
        </w:r>
      </w:hyperlink>
      <w:r>
        <w:rPr>
          <w:rFonts w:cs="Times New Roman" w:ascii="Times New Roman" w:hAnsi="Times New Roman"/>
          <w:sz w:val="28"/>
          <w:szCs w:val="28"/>
        </w:rPr>
        <w:t xml:space="preserve"> об исполнении муниципального задания, предусмотренной приложением N 2 к настоящему Положению, в срок, установленный в муниципальном задании органом, осуществляющим функции и полномочия учредителя, или ГРБС, в ведении которого находятся муниципальные казенные учреждения.</w:t>
      </w:r>
    </w:p>
    <w:p>
      <w:pPr>
        <w:pStyle w:val="Normal"/>
        <w:spacing w:before="0" w:after="0"/>
        <w:ind w:firstLine="540"/>
        <w:jc w:val="both"/>
        <w:rPr>
          <w:rFonts w:ascii="Times New Roman" w:hAnsi="Times New Roman" w:cs="Times New Roman"/>
          <w:strike/>
          <w:sz w:val="28"/>
          <w:szCs w:val="28"/>
        </w:rPr>
      </w:pPr>
      <w:r>
        <w:rPr>
          <w:rFonts w:cs="Times New Roman" w:ascii="Times New Roman" w:hAnsi="Times New Roman"/>
          <w:sz w:val="28"/>
          <w:szCs w:val="28"/>
        </w:rPr>
        <w:t>В случае если показатели объема,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r>
        <w:rPr>
          <w:rFonts w:cs="Times New Roman" w:ascii="Times New Roman" w:hAnsi="Times New Roman"/>
          <w:strike/>
          <w:sz w:val="28"/>
          <w:szCs w:val="28"/>
        </w:rPr>
        <w:t xml:space="preserve"> </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Если на основании отчета об исполнении муниципального задания за отчетный год задание является невыполненным, то соответствующие средства субсидии подлежат перечислению в бюджет города в соответствии с бюджетным законодательством Российской Федерации в объеме, соответствующем показателям, которые не были достигнуты с учетом допустимых (возможных) отклонений.</w:t>
      </w:r>
    </w:p>
    <w:p>
      <w:pPr>
        <w:pStyle w:val="Normal"/>
        <w:spacing w:lineRule="auto" w:line="240" w:before="280" w:after="0"/>
        <w:ind w:firstLine="540"/>
        <w:jc w:val="both"/>
        <w:rPr>
          <w:rFonts w:ascii="Times New Roman" w:hAnsi="Times New Roman" w:cs="Times New Roman"/>
          <w:sz w:val="28"/>
          <w:szCs w:val="28"/>
        </w:rPr>
      </w:pPr>
      <w:r>
        <w:rPr>
          <w:rFonts w:cs="Times New Roman" w:ascii="Times New Roman" w:hAnsi="Times New Roman"/>
          <w:sz w:val="28"/>
          <w:szCs w:val="28"/>
        </w:rPr>
        <w:t>Объем остатка субсидии на выполнение муниципального задания, предоставленной муниципальному бюджетному или автономному учреждению, образовавшийся в связи с недостижением установленных муниципальных заданием показателей, характеризующих объем муниципальных услуг (работ) (R</w:t>
      </w:r>
      <w:r>
        <w:rPr>
          <w:rFonts w:cs="Times New Roman" w:ascii="Times New Roman" w:hAnsi="Times New Roman"/>
          <w:sz w:val="28"/>
          <w:szCs w:val="28"/>
          <w:vertAlign w:val="subscript"/>
        </w:rPr>
        <w:t>ост</w:t>
      </w:r>
      <w:r>
        <w:rPr>
          <w:rFonts w:cs="Times New Roman" w:ascii="Times New Roman" w:hAnsi="Times New Roman"/>
          <w:sz w:val="28"/>
          <w:szCs w:val="28"/>
        </w:rPr>
        <w:t>), исчисляется по следующей формуле:</w:t>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drawing>
          <wp:inline distT="0" distB="0" distL="0" distR="0">
            <wp:extent cx="2573020" cy="478155"/>
            <wp:effectExtent l="0" t="0" r="0" b="0"/>
            <wp:docPr id="6"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4" descr=""/>
                    <pic:cNvPicPr>
                      <a:picLocks noChangeAspect="1" noChangeArrowheads="1"/>
                    </pic:cNvPicPr>
                  </pic:nvPicPr>
                  <pic:blipFill>
                    <a:blip r:embed="rId15"/>
                    <a:stretch>
                      <a:fillRect/>
                    </a:stretch>
                  </pic:blipFill>
                  <pic:spPr bwMode="auto">
                    <a:xfrm>
                      <a:off x="0" y="0"/>
                      <a:ext cx="2573020" cy="478155"/>
                    </a:xfrm>
                    <a:prstGeom prst="rect">
                      <a:avLst/>
                    </a:prstGeom>
                  </pic:spPr>
                </pic:pic>
              </a:graphicData>
            </a:graphic>
          </wp:inline>
        </w:drawing>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где:</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N</w:t>
      </w:r>
      <w:r>
        <w:rPr>
          <w:rFonts w:cs="Times New Roman" w:ascii="Times New Roman" w:hAnsi="Times New Roman"/>
          <w:sz w:val="28"/>
          <w:szCs w:val="28"/>
          <w:vertAlign w:val="subscript"/>
        </w:rPr>
        <w:t>i</w:t>
      </w:r>
      <w:r>
        <w:rPr>
          <w:rFonts w:cs="Times New Roman" w:ascii="Times New Roman" w:hAnsi="Times New Roman"/>
          <w:sz w:val="28"/>
          <w:szCs w:val="28"/>
          <w:vertAlign w:val="superscript"/>
        </w:rPr>
        <w:t>услуга</w:t>
      </w:r>
      <w:r>
        <w:rPr>
          <w:rFonts w:cs="Times New Roman" w:ascii="Times New Roman" w:hAnsi="Times New Roman"/>
          <w:sz w:val="28"/>
          <w:szCs w:val="28"/>
        </w:rPr>
        <w:t xml:space="preserve"> - затраты, связанные с невыполнением муниципального задания по i-й муниципальной услуге;</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N</w:t>
      </w:r>
      <w:r>
        <w:rPr>
          <w:rFonts w:cs="Times New Roman" w:ascii="Times New Roman" w:hAnsi="Times New Roman"/>
          <w:sz w:val="28"/>
          <w:szCs w:val="28"/>
          <w:vertAlign w:val="subscript"/>
        </w:rPr>
        <w:t>w</w:t>
      </w:r>
      <w:r>
        <w:rPr>
          <w:rFonts w:cs="Times New Roman" w:ascii="Times New Roman" w:hAnsi="Times New Roman"/>
          <w:sz w:val="28"/>
          <w:szCs w:val="28"/>
          <w:vertAlign w:val="superscript"/>
        </w:rPr>
        <w:t>работа</w:t>
      </w:r>
      <w:r>
        <w:rPr>
          <w:rFonts w:cs="Times New Roman" w:ascii="Times New Roman" w:hAnsi="Times New Roman"/>
          <w:sz w:val="28"/>
          <w:szCs w:val="28"/>
        </w:rPr>
        <w:t xml:space="preserve"> - затраты, связанные с невыполнением муниципального задания по w-й муниципальной работе.</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Затраты, связанные с невыполнением муниципального задания по i-й муниципальной услуге (N</w:t>
      </w:r>
      <w:r>
        <w:rPr>
          <w:rFonts w:cs="Times New Roman" w:ascii="Times New Roman" w:hAnsi="Times New Roman"/>
          <w:sz w:val="28"/>
          <w:szCs w:val="28"/>
          <w:vertAlign w:val="subscript"/>
        </w:rPr>
        <w:t>i</w:t>
      </w:r>
      <w:r>
        <w:rPr>
          <w:rFonts w:cs="Times New Roman" w:ascii="Times New Roman" w:hAnsi="Times New Roman"/>
          <w:sz w:val="28"/>
          <w:szCs w:val="28"/>
          <w:vertAlign w:val="superscript"/>
        </w:rPr>
        <w:t>услуга</w:t>
      </w:r>
      <w:r>
        <w:rPr>
          <w:rFonts w:cs="Times New Roman" w:ascii="Times New Roman" w:hAnsi="Times New Roman"/>
          <w:sz w:val="28"/>
          <w:szCs w:val="28"/>
        </w:rPr>
        <w:t>), определяются по следующей формуле: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drawing>
          <wp:inline distT="0" distB="0" distL="0" distR="0">
            <wp:extent cx="2222500" cy="478155"/>
            <wp:effectExtent l="0" t="0" r="0" b="0"/>
            <wp:docPr id="7"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1" descr=""/>
                    <pic:cNvPicPr>
                      <a:picLocks noChangeAspect="1" noChangeArrowheads="1"/>
                    </pic:cNvPicPr>
                  </pic:nvPicPr>
                  <pic:blipFill>
                    <a:blip r:embed="rId16"/>
                    <a:stretch>
                      <a:fillRect/>
                    </a:stretch>
                  </pic:blipFill>
                  <pic:spPr bwMode="auto">
                    <a:xfrm>
                      <a:off x="0" y="0"/>
                      <a:ext cx="2222500" cy="478155"/>
                    </a:xfrm>
                    <a:prstGeom prst="rect">
                      <a:avLst/>
                    </a:prstGeom>
                  </pic:spPr>
                </pic:pic>
              </a:graphicData>
            </a:graphic>
          </wp:inline>
        </w:drawing>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где:</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N</w:t>
      </w:r>
      <w:r>
        <w:rPr>
          <w:rFonts w:cs="Times New Roman" w:ascii="Times New Roman" w:hAnsi="Times New Roman"/>
          <w:sz w:val="28"/>
          <w:szCs w:val="28"/>
          <w:vertAlign w:val="subscript"/>
        </w:rPr>
        <w:t>i</w:t>
      </w:r>
      <w:r>
        <w:rPr>
          <w:rFonts w:cs="Times New Roman" w:ascii="Times New Roman" w:hAnsi="Times New Roman"/>
          <w:sz w:val="28"/>
          <w:szCs w:val="28"/>
        </w:rPr>
        <w:t xml:space="preserve"> - нормативные затраты на оказание i-й услуги;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i</w:t>
      </w:r>
      <w:r>
        <w:rPr>
          <w:rFonts w:cs="Times New Roman" w:ascii="Times New Roman" w:hAnsi="Times New Roman"/>
          <w:sz w:val="28"/>
          <w:szCs w:val="28"/>
          <w:vertAlign w:val="superscript"/>
        </w:rPr>
        <w:t>невып</w:t>
      </w:r>
      <w:r>
        <w:rPr>
          <w:rFonts w:cs="Times New Roman" w:ascii="Times New Roman" w:hAnsi="Times New Roman"/>
          <w:sz w:val="28"/>
          <w:szCs w:val="28"/>
        </w:rPr>
        <w:t xml:space="preserve"> - невыполненный объем муниципального задания по i-й муниципальной услуге.</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Невыполненный объем муниципального задания по i-й муниципальной услуге (V</w:t>
      </w:r>
      <w:r>
        <w:rPr>
          <w:rFonts w:cs="Times New Roman" w:ascii="Times New Roman" w:hAnsi="Times New Roman"/>
          <w:sz w:val="28"/>
          <w:szCs w:val="28"/>
          <w:vertAlign w:val="subscript"/>
        </w:rPr>
        <w:t>i</w:t>
      </w:r>
      <w:r>
        <w:rPr>
          <w:rFonts w:cs="Times New Roman" w:ascii="Times New Roman" w:hAnsi="Times New Roman"/>
          <w:sz w:val="28"/>
          <w:szCs w:val="28"/>
          <w:vertAlign w:val="superscript"/>
        </w:rPr>
        <w:t>невып</w:t>
      </w:r>
      <w:r>
        <w:rPr>
          <w:rFonts w:cs="Times New Roman" w:ascii="Times New Roman" w:hAnsi="Times New Roman"/>
          <w:sz w:val="28"/>
          <w:szCs w:val="28"/>
        </w:rPr>
        <w:t>) определяется по следующей формуле: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i</w:t>
      </w:r>
      <w:r>
        <w:rPr>
          <w:rFonts w:cs="Times New Roman" w:ascii="Times New Roman" w:hAnsi="Times New Roman"/>
          <w:sz w:val="28"/>
          <w:szCs w:val="28"/>
          <w:vertAlign w:val="superscript"/>
        </w:rPr>
        <w:t>невып</w:t>
      </w:r>
      <w:r>
        <w:rPr>
          <w:rFonts w:cs="Times New Roman" w:ascii="Times New Roman" w:hAnsi="Times New Roman"/>
          <w:sz w:val="28"/>
          <w:szCs w:val="28"/>
        </w:rPr>
        <w:t xml:space="preserve"> = V</w:t>
      </w:r>
      <w:r>
        <w:rPr>
          <w:rFonts w:cs="Times New Roman" w:ascii="Times New Roman" w:hAnsi="Times New Roman"/>
          <w:sz w:val="28"/>
          <w:szCs w:val="28"/>
          <w:vertAlign w:val="subscript"/>
        </w:rPr>
        <w:t>i</w:t>
      </w:r>
      <w:r>
        <w:rPr>
          <w:rFonts w:cs="Times New Roman" w:ascii="Times New Roman" w:hAnsi="Times New Roman"/>
          <w:sz w:val="28"/>
          <w:szCs w:val="28"/>
          <w:vertAlign w:val="superscript"/>
        </w:rPr>
        <w:t>МЗ</w:t>
      </w:r>
      <w:r>
        <w:rPr>
          <w:rFonts w:cs="Times New Roman" w:ascii="Times New Roman" w:hAnsi="Times New Roman"/>
          <w:sz w:val="28"/>
          <w:szCs w:val="28"/>
        </w:rPr>
        <w:t xml:space="preserve"> - V</w:t>
      </w:r>
      <w:r>
        <w:rPr>
          <w:rFonts w:cs="Times New Roman" w:ascii="Times New Roman" w:hAnsi="Times New Roman"/>
          <w:sz w:val="28"/>
          <w:szCs w:val="28"/>
          <w:vertAlign w:val="subscript"/>
        </w:rPr>
        <w:t>i</w:t>
      </w:r>
      <w:r>
        <w:rPr>
          <w:rFonts w:cs="Times New Roman" w:ascii="Times New Roman" w:hAnsi="Times New Roman"/>
          <w:sz w:val="28"/>
          <w:szCs w:val="28"/>
          <w:vertAlign w:val="superscript"/>
        </w:rPr>
        <w:t>откл</w:t>
      </w:r>
      <w:r>
        <w:rPr>
          <w:rFonts w:cs="Times New Roman" w:ascii="Times New Roman" w:hAnsi="Times New Roman"/>
          <w:sz w:val="28"/>
          <w:szCs w:val="28"/>
        </w:rPr>
        <w:t xml:space="preserve"> - V</w:t>
      </w:r>
      <w:r>
        <w:rPr>
          <w:rFonts w:cs="Times New Roman" w:ascii="Times New Roman" w:hAnsi="Times New Roman"/>
          <w:sz w:val="28"/>
          <w:szCs w:val="28"/>
          <w:vertAlign w:val="subscript"/>
        </w:rPr>
        <w:t>i</w:t>
      </w:r>
      <w:r>
        <w:rPr>
          <w:rFonts w:cs="Times New Roman" w:ascii="Times New Roman" w:hAnsi="Times New Roman"/>
          <w:sz w:val="28"/>
          <w:szCs w:val="28"/>
          <w:vertAlign w:val="superscript"/>
        </w:rPr>
        <w:t>факт</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где:</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i</w:t>
      </w:r>
      <w:r>
        <w:rPr>
          <w:rFonts w:cs="Times New Roman" w:ascii="Times New Roman" w:hAnsi="Times New Roman"/>
          <w:sz w:val="28"/>
          <w:szCs w:val="28"/>
          <w:vertAlign w:val="superscript"/>
        </w:rPr>
        <w:t>МЗ</w:t>
      </w:r>
      <w:r>
        <w:rPr>
          <w:rFonts w:cs="Times New Roman" w:ascii="Times New Roman" w:hAnsi="Times New Roman"/>
          <w:sz w:val="28"/>
          <w:szCs w:val="28"/>
        </w:rPr>
        <w:t xml:space="preserve"> - объем муниципальной услуги, установленный муниципальным заданием;</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i</w:t>
      </w:r>
      <w:r>
        <w:rPr>
          <w:rFonts w:cs="Times New Roman" w:ascii="Times New Roman" w:hAnsi="Times New Roman"/>
          <w:sz w:val="28"/>
          <w:szCs w:val="28"/>
          <w:vertAlign w:val="superscript"/>
        </w:rPr>
        <w:t>откл</w:t>
      </w:r>
      <w:r>
        <w:rPr>
          <w:rFonts w:cs="Times New Roman" w:ascii="Times New Roman" w:hAnsi="Times New Roman"/>
          <w:sz w:val="28"/>
          <w:szCs w:val="28"/>
        </w:rPr>
        <w:t xml:space="preserve"> - установленное органом, осуществляющим функции и полномочия учредителя муниципальных бюджетных (автономных) учреждений, возможное отклонение от показателей, установленных в муниципальном задании по i-й муниципальной услуге, в пределах которой муниципальное задание считается выполненным (при установлении);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i</w:t>
      </w:r>
      <w:r>
        <w:rPr>
          <w:rFonts w:cs="Times New Roman" w:ascii="Times New Roman" w:hAnsi="Times New Roman"/>
          <w:sz w:val="28"/>
          <w:szCs w:val="28"/>
          <w:vertAlign w:val="superscript"/>
        </w:rPr>
        <w:t>факт</w:t>
      </w:r>
      <w:r>
        <w:rPr>
          <w:rFonts w:cs="Times New Roman" w:ascii="Times New Roman" w:hAnsi="Times New Roman"/>
          <w:sz w:val="28"/>
          <w:szCs w:val="28"/>
        </w:rPr>
        <w:t xml:space="preserve"> - фактическое значение объема i-й муниципальной услуги за отчетный период в соответствии с отчетом об исполнении муниципального задания.</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Затраты, связанные с невыполнением муниципального задания по w-й муниципальной работе (V</w:t>
      </w:r>
      <w:r>
        <w:rPr>
          <w:rFonts w:cs="Times New Roman" w:ascii="Times New Roman" w:hAnsi="Times New Roman"/>
          <w:sz w:val="28"/>
          <w:szCs w:val="28"/>
          <w:vertAlign w:val="subscript"/>
        </w:rPr>
        <w:t>w</w:t>
      </w:r>
      <w:r>
        <w:rPr>
          <w:rFonts w:cs="Times New Roman" w:ascii="Times New Roman" w:hAnsi="Times New Roman"/>
          <w:sz w:val="28"/>
          <w:szCs w:val="28"/>
          <w:vertAlign w:val="superscript"/>
        </w:rPr>
        <w:t>работа</w:t>
      </w:r>
      <w:r>
        <w:rPr>
          <w:rFonts w:cs="Times New Roman" w:ascii="Times New Roman" w:hAnsi="Times New Roman"/>
          <w:sz w:val="28"/>
          <w:szCs w:val="28"/>
        </w:rPr>
        <w:t>), определяются по следующей формуле: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drawing>
          <wp:inline distT="0" distB="0" distL="0" distR="0">
            <wp:extent cx="2275205" cy="478155"/>
            <wp:effectExtent l="0" t="0" r="0" b="0"/>
            <wp:docPr id="8"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1" descr=""/>
                    <pic:cNvPicPr>
                      <a:picLocks noChangeAspect="1" noChangeArrowheads="1"/>
                    </pic:cNvPicPr>
                  </pic:nvPicPr>
                  <pic:blipFill>
                    <a:blip r:embed="rId17"/>
                    <a:stretch>
                      <a:fillRect/>
                    </a:stretch>
                  </pic:blipFill>
                  <pic:spPr bwMode="auto">
                    <a:xfrm>
                      <a:off x="0" y="0"/>
                      <a:ext cx="2275205" cy="478155"/>
                    </a:xfrm>
                    <a:prstGeom prst="rect">
                      <a:avLst/>
                    </a:prstGeom>
                  </pic:spPr>
                </pic:pic>
              </a:graphicData>
            </a:graphic>
          </wp:inline>
        </w:drawing>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где:</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N</w:t>
      </w:r>
      <w:r>
        <w:rPr>
          <w:rFonts w:cs="Times New Roman" w:ascii="Times New Roman" w:hAnsi="Times New Roman"/>
          <w:sz w:val="28"/>
          <w:szCs w:val="28"/>
          <w:vertAlign w:val="subscript"/>
        </w:rPr>
        <w:t>w</w:t>
      </w:r>
      <w:r>
        <w:rPr>
          <w:rFonts w:cs="Times New Roman" w:ascii="Times New Roman" w:hAnsi="Times New Roman"/>
          <w:sz w:val="28"/>
          <w:szCs w:val="28"/>
        </w:rPr>
        <w:t xml:space="preserve"> - нормативные затраты на оказание w-й работы;</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w</w:t>
      </w:r>
      <w:r>
        <w:rPr>
          <w:rFonts w:cs="Times New Roman" w:ascii="Times New Roman" w:hAnsi="Times New Roman"/>
          <w:sz w:val="28"/>
          <w:szCs w:val="28"/>
          <w:vertAlign w:val="superscript"/>
        </w:rPr>
        <w:t>невып</w:t>
      </w:r>
      <w:r>
        <w:rPr>
          <w:rFonts w:cs="Times New Roman" w:ascii="Times New Roman" w:hAnsi="Times New Roman"/>
          <w:sz w:val="28"/>
          <w:szCs w:val="28"/>
        </w:rPr>
        <w:t xml:space="preserve"> - невыполненный объем муниципального задания по w-й муниципальной работе.</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Невыполненный объем муниципального задания по w-й муниципальной работе (V</w:t>
      </w:r>
      <w:r>
        <w:rPr>
          <w:rFonts w:cs="Times New Roman" w:ascii="Times New Roman" w:hAnsi="Times New Roman"/>
          <w:sz w:val="28"/>
          <w:szCs w:val="28"/>
          <w:vertAlign w:val="subscript"/>
        </w:rPr>
        <w:t>w</w:t>
      </w:r>
      <w:r>
        <w:rPr>
          <w:rFonts w:cs="Times New Roman" w:ascii="Times New Roman" w:hAnsi="Times New Roman"/>
          <w:sz w:val="28"/>
          <w:szCs w:val="28"/>
          <w:vertAlign w:val="superscript"/>
        </w:rPr>
        <w:t>невып</w:t>
      </w:r>
      <w:r>
        <w:rPr>
          <w:rFonts w:cs="Times New Roman" w:ascii="Times New Roman" w:hAnsi="Times New Roman"/>
          <w:sz w:val="28"/>
          <w:szCs w:val="28"/>
        </w:rPr>
        <w:t>) определяется по следующей формуле: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w</w:t>
      </w:r>
      <w:r>
        <w:rPr>
          <w:rFonts w:cs="Times New Roman" w:ascii="Times New Roman" w:hAnsi="Times New Roman"/>
          <w:sz w:val="28"/>
          <w:szCs w:val="28"/>
          <w:vertAlign w:val="superscript"/>
        </w:rPr>
        <w:t>невып</w:t>
      </w:r>
      <w:r>
        <w:rPr>
          <w:rFonts w:cs="Times New Roman" w:ascii="Times New Roman" w:hAnsi="Times New Roman"/>
          <w:sz w:val="28"/>
          <w:szCs w:val="28"/>
        </w:rPr>
        <w:t xml:space="preserve"> = V</w:t>
      </w:r>
      <w:r>
        <w:rPr>
          <w:rFonts w:cs="Times New Roman" w:ascii="Times New Roman" w:hAnsi="Times New Roman"/>
          <w:sz w:val="28"/>
          <w:szCs w:val="28"/>
          <w:vertAlign w:val="subscript"/>
        </w:rPr>
        <w:t>w</w:t>
      </w:r>
      <w:r>
        <w:rPr>
          <w:rFonts w:cs="Times New Roman" w:ascii="Times New Roman" w:hAnsi="Times New Roman"/>
          <w:sz w:val="28"/>
          <w:szCs w:val="28"/>
          <w:vertAlign w:val="superscript"/>
        </w:rPr>
        <w:t>МЗ</w:t>
      </w:r>
      <w:r>
        <w:rPr>
          <w:rFonts w:cs="Times New Roman" w:ascii="Times New Roman" w:hAnsi="Times New Roman"/>
          <w:sz w:val="28"/>
          <w:szCs w:val="28"/>
        </w:rPr>
        <w:t xml:space="preserve"> - V</w:t>
      </w:r>
      <w:r>
        <w:rPr>
          <w:rFonts w:cs="Times New Roman" w:ascii="Times New Roman" w:hAnsi="Times New Roman"/>
          <w:sz w:val="28"/>
          <w:szCs w:val="28"/>
          <w:vertAlign w:val="subscript"/>
        </w:rPr>
        <w:t>w</w:t>
      </w:r>
      <w:r>
        <w:rPr>
          <w:rFonts w:cs="Times New Roman" w:ascii="Times New Roman" w:hAnsi="Times New Roman"/>
          <w:sz w:val="28"/>
          <w:szCs w:val="28"/>
          <w:vertAlign w:val="superscript"/>
        </w:rPr>
        <w:t>откл</w:t>
      </w:r>
      <w:r>
        <w:rPr>
          <w:rFonts w:cs="Times New Roman" w:ascii="Times New Roman" w:hAnsi="Times New Roman"/>
          <w:sz w:val="28"/>
          <w:szCs w:val="28"/>
        </w:rPr>
        <w:t xml:space="preserve"> - V</w:t>
      </w:r>
      <w:r>
        <w:rPr>
          <w:rFonts w:cs="Times New Roman" w:ascii="Times New Roman" w:hAnsi="Times New Roman"/>
          <w:sz w:val="28"/>
          <w:szCs w:val="28"/>
          <w:vertAlign w:val="subscript"/>
        </w:rPr>
        <w:t>w</w:t>
      </w:r>
      <w:r>
        <w:rPr>
          <w:rFonts w:cs="Times New Roman" w:ascii="Times New Roman" w:hAnsi="Times New Roman"/>
          <w:sz w:val="28"/>
          <w:szCs w:val="28"/>
          <w:vertAlign w:val="superscript"/>
        </w:rPr>
        <w:t>факт</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где:</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w</w:t>
      </w:r>
      <w:r>
        <w:rPr>
          <w:rFonts w:cs="Times New Roman" w:ascii="Times New Roman" w:hAnsi="Times New Roman"/>
          <w:sz w:val="28"/>
          <w:szCs w:val="28"/>
          <w:vertAlign w:val="superscript"/>
        </w:rPr>
        <w:t>МЗ</w:t>
      </w:r>
      <w:r>
        <w:rPr>
          <w:rFonts w:cs="Times New Roman" w:ascii="Times New Roman" w:hAnsi="Times New Roman"/>
          <w:sz w:val="28"/>
          <w:szCs w:val="28"/>
        </w:rPr>
        <w:t xml:space="preserve"> - объем муниципальной работы, установленный муниципальным заданием;</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w</w:t>
      </w:r>
      <w:r>
        <w:rPr>
          <w:rFonts w:cs="Times New Roman" w:ascii="Times New Roman" w:hAnsi="Times New Roman"/>
          <w:sz w:val="28"/>
          <w:szCs w:val="28"/>
          <w:vertAlign w:val="superscript"/>
        </w:rPr>
        <w:t>откл</w:t>
      </w:r>
      <w:r>
        <w:rPr>
          <w:rFonts w:cs="Times New Roman" w:ascii="Times New Roman" w:hAnsi="Times New Roman"/>
          <w:sz w:val="28"/>
          <w:szCs w:val="28"/>
        </w:rPr>
        <w:t xml:space="preserve"> - установленное органом, осуществляющим функции и полномочия учредителя муниципальных бюджетных (автономных) учреждений, возможное отклонение от показателей, установленных в муниципальном задании по w-й муниципальной работе, в пределах которой муниципальное задание считается выполненным (при установлении);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w</w:t>
      </w:r>
      <w:r>
        <w:rPr>
          <w:rFonts w:cs="Times New Roman" w:ascii="Times New Roman" w:hAnsi="Times New Roman"/>
          <w:sz w:val="28"/>
          <w:szCs w:val="28"/>
          <w:vertAlign w:val="superscript"/>
        </w:rPr>
        <w:t>факт</w:t>
      </w:r>
      <w:r>
        <w:rPr>
          <w:rFonts w:cs="Times New Roman" w:ascii="Times New Roman" w:hAnsi="Times New Roman"/>
          <w:sz w:val="28"/>
          <w:szCs w:val="28"/>
        </w:rPr>
        <w:t xml:space="preserve"> - фактическое значение объема w-й муниципальной работы за отчетный период в соответствии с отчетом об исполнении муниципального задания.</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3.24. Муниципальные бюджетные (автономные) учреждения, муниципальные казенные учреждения представляют отчет об исполнении муниципального задания по форме согласно приложению № 2 к Положению в соответствии с требованиями, установленными в муниципальном задании в отдел экономики администрации города и органам, осуществляющим функции и полномочия учредителя и ГРБС:</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 отчетный год – до 01 февраля текущего года;</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за отчетный квартал текущего года – до 10 числа месяца, следующего за отчетным кварталом;</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 предварительный отчет за текущий год – до 01 декабря текущего года.</w:t>
      </w:r>
    </w:p>
    <w:p>
      <w:pPr>
        <w:pStyle w:val="Normal"/>
        <w:spacing w:before="0" w:after="0"/>
        <w:ind w:firstLine="709"/>
        <w:contextualSpacing/>
        <w:mirrorIndents/>
        <w:jc w:val="both"/>
        <w:rPr>
          <w:rFonts w:ascii="Times New Roman" w:hAnsi="Times New Roman" w:cs="Times New Roman"/>
          <w:sz w:val="28"/>
          <w:szCs w:val="28"/>
        </w:rPr>
      </w:pPr>
      <w:r>
        <w:rPr>
          <w:rFonts w:cs="Times New Roman" w:ascii="Times New Roman" w:hAnsi="Times New Roman"/>
          <w:sz w:val="28"/>
          <w:szCs w:val="28"/>
        </w:rPr>
        <w:t>3.25. Контроль за исполнением муниципального задания муниципальными казенными учреждениями и муниципальными бюджетными (автономными) учреждениями осуществляют органы, осуществляющие функции и полномочия учредителя, и  ГРБС, а также органы муниципального финансового контроля.</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Правила осуществления контроля органами, осуществляющими функции и полномочия учредителей, и ГРБС, в ведении которых находятся муниципальные казенные учреждения, за исполнением муниципального задания, устанавливаются указанными органами.</w:t>
      </w:r>
    </w:p>
    <w:p>
      <w:pPr>
        <w:sectPr>
          <w:type w:val="nextPage"/>
          <w:pgSz w:w="11906" w:h="16838"/>
          <w:pgMar w:left="1361" w:right="737" w:header="0" w:top="1134" w:footer="0" w:bottom="851" w:gutter="0"/>
          <w:pgNumType w:fmt="decimal"/>
          <w:formProt w:val="false"/>
          <w:textDirection w:val="lrTb"/>
          <w:docGrid w:type="default" w:linePitch="360" w:charSpace="4096"/>
        </w:sect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lang w:val="en-US"/>
        </w:rPr>
        <w:t>3.</w:t>
      </w:r>
      <w:r>
        <w:rPr>
          <w:rFonts w:cs="Times New Roman" w:ascii="Times New Roman" w:hAnsi="Times New Roman"/>
          <w:sz w:val="28"/>
          <w:szCs w:val="28"/>
          <w:lang w:val="ru-RU"/>
        </w:rPr>
        <w:t>26. </w:t>
      </w:r>
      <w:r>
        <w:rPr>
          <w:rFonts w:cs="Times New Roman" w:ascii="Times New Roman" w:hAnsi="Times New Roman"/>
          <w:sz w:val="28"/>
          <w:szCs w:val="28"/>
        </w:rPr>
        <w:t>Муниципальное задание, установленное в отношении муниципальных учреждений на 2020 год, не признается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в связи с приостановлением (частичным приостановлением) деятельности указанных учреждений, связанным с профилактикой и устранением последствий распространения коронавирусной инфекции</w:t>
      </w:r>
    </w:p>
    <w:p>
      <w:pPr>
        <w:pStyle w:val="ConsPlusNormal"/>
        <w:jc w:val="right"/>
        <w:rPr>
          <w:rFonts w:ascii="Times New Roman" w:hAnsi="Times New Roman" w:cs="Times New Roman"/>
          <w:sz w:val="20"/>
        </w:rPr>
      </w:pPr>
      <w:r>
        <w:rPr>
          <w:rFonts w:cs="Times New Roman" w:ascii="Times New Roman" w:hAnsi="Times New Roman"/>
          <w:sz w:val="20"/>
        </w:rPr>
        <w:t>Приложение № 1</w:t>
      </w:r>
    </w:p>
    <w:p>
      <w:pPr>
        <w:pStyle w:val="ConsPlusNormal"/>
        <w:jc w:val="right"/>
        <w:rPr>
          <w:rFonts w:ascii="Times New Roman" w:hAnsi="Times New Roman" w:cs="Times New Roman"/>
          <w:sz w:val="20"/>
        </w:rPr>
      </w:pPr>
      <w:r>
        <w:rPr>
          <w:rFonts w:cs="Times New Roman" w:ascii="Times New Roman" w:hAnsi="Times New Roman"/>
          <w:sz w:val="20"/>
        </w:rPr>
        <w:t>к Положению</w:t>
      </w:r>
    </w:p>
    <w:p>
      <w:pPr>
        <w:pStyle w:val="ConsPlusNormal"/>
        <w:jc w:val="right"/>
        <w:rPr>
          <w:rFonts w:ascii="Times New Roman" w:hAnsi="Times New Roman" w:cs="Times New Roman"/>
          <w:sz w:val="20"/>
        </w:rPr>
      </w:pPr>
      <w:r>
        <w:rPr>
          <w:rFonts w:cs="Times New Roman" w:ascii="Times New Roman" w:hAnsi="Times New Roman"/>
          <w:sz w:val="20"/>
        </w:rPr>
      </w:r>
    </w:p>
    <w:p>
      <w:pPr>
        <w:pStyle w:val="ConsPlusNormal"/>
        <w:jc w:val="right"/>
        <w:rPr>
          <w:rFonts w:ascii="Times New Roman" w:hAnsi="Times New Roman" w:cs="Times New Roman"/>
          <w:sz w:val="20"/>
        </w:rPr>
      </w:pPr>
      <w:r>
        <w:rPr>
          <w:rFonts w:cs="Times New Roman" w:ascii="Times New Roman" w:hAnsi="Times New Roman"/>
          <w:sz w:val="20"/>
        </w:rPr>
      </w:r>
    </w:p>
    <w:p>
      <w:pPr>
        <w:pStyle w:val="ConsPlusNormal"/>
        <w:ind w:left="2124" w:firstLine="708"/>
        <w:jc w:val="center"/>
        <w:rPr>
          <w:rFonts w:ascii="Times New Roman" w:hAnsi="Times New Roman" w:cs="Times New Roman"/>
          <w:sz w:val="20"/>
        </w:rPr>
      </w:pPr>
      <w:r>
        <w:rPr>
          <w:rFonts w:cs="Times New Roman" w:ascii="Times New Roman" w:hAnsi="Times New Roman"/>
          <w:sz w:val="20"/>
        </w:rPr>
        <w:t>УТВЕРЖДАЮ</w:t>
      </w:r>
    </w:p>
    <w:p>
      <w:pPr>
        <w:pStyle w:val="ConsPlusNormal"/>
        <w:jc w:val="right"/>
        <w:rPr>
          <w:rFonts w:ascii="Times New Roman" w:hAnsi="Times New Roman" w:cs="Times New Roman"/>
          <w:sz w:val="20"/>
        </w:rPr>
      </w:pPr>
      <w:r>
        <w:rPr>
          <w:rFonts w:cs="Times New Roman" w:ascii="Times New Roman" w:hAnsi="Times New Roman"/>
          <w:sz w:val="20"/>
        </w:rPr>
      </w:r>
    </w:p>
    <w:p>
      <w:pPr>
        <w:pStyle w:val="ConsPlusNormal"/>
        <w:ind w:left="5664" w:hanging="0"/>
        <w:rPr>
          <w:rFonts w:ascii="Times New Roman" w:hAnsi="Times New Roman" w:cs="Times New Roman"/>
          <w:sz w:val="20"/>
        </w:rPr>
      </w:pPr>
      <w:r>
        <w:rPr>
          <w:rFonts w:cs="Times New Roman" w:ascii="Times New Roman" w:hAnsi="Times New Roman"/>
          <w:sz w:val="20"/>
        </w:rPr>
        <w:t xml:space="preserve">Руководитель </w:t>
      </w:r>
    </w:p>
    <w:p>
      <w:pPr>
        <w:pStyle w:val="ConsPlusNormal"/>
        <w:ind w:left="4956" w:firstLine="708"/>
        <w:rPr>
          <w:rFonts w:ascii="Times New Roman" w:hAnsi="Times New Roman" w:cs="Times New Roman"/>
          <w:sz w:val="20"/>
        </w:rPr>
      </w:pPr>
      <w:r>
        <w:rPr>
          <w:rFonts w:cs="Times New Roman" w:ascii="Times New Roman" w:hAnsi="Times New Roman"/>
          <w:sz w:val="20"/>
        </w:rPr>
        <w:t>(уполномоченное лицо)</w:t>
      </w:r>
    </w:p>
    <w:p>
      <w:pPr>
        <w:pStyle w:val="ConsPlusNormal"/>
        <w:ind w:left="4956" w:firstLine="708"/>
        <w:jc w:val="center"/>
        <w:rPr>
          <w:rFonts w:ascii="Times New Roman" w:hAnsi="Times New Roman" w:cs="Times New Roman"/>
          <w:sz w:val="20"/>
        </w:rPr>
      </w:pPr>
      <w:r>
        <w:rPr>
          <w:rFonts w:cs="Times New Roman" w:ascii="Times New Roman" w:hAnsi="Times New Roman"/>
          <w:sz w:val="20"/>
        </w:rPr>
        <w:t>_________________________________________</w:t>
      </w:r>
    </w:p>
    <w:p>
      <w:pPr>
        <w:pStyle w:val="ConsPlusNormal"/>
        <w:ind w:left="5664" w:hanging="0"/>
        <w:jc w:val="center"/>
        <w:rPr>
          <w:rFonts w:ascii="Times New Roman" w:hAnsi="Times New Roman" w:cs="Times New Roman"/>
          <w:sz w:val="18"/>
          <w:szCs w:val="18"/>
        </w:rPr>
      </w:pPr>
      <w:r>
        <w:rPr>
          <w:rFonts w:cs="Times New Roman" w:ascii="Times New Roman" w:hAnsi="Times New Roman"/>
          <w:sz w:val="18"/>
          <w:szCs w:val="18"/>
        </w:rPr>
        <w:t xml:space="preserve">(наименование органа, осуществляющего </w:t>
      </w:r>
    </w:p>
    <w:p>
      <w:pPr>
        <w:pStyle w:val="ConsPlusNormal"/>
        <w:ind w:left="5664" w:hanging="0"/>
        <w:jc w:val="center"/>
        <w:rPr>
          <w:rFonts w:ascii="Times New Roman" w:hAnsi="Times New Roman" w:cs="Times New Roman"/>
          <w:sz w:val="18"/>
          <w:szCs w:val="18"/>
        </w:rPr>
      </w:pPr>
      <w:r>
        <w:rPr>
          <w:rFonts w:cs="Times New Roman" w:ascii="Times New Roman" w:hAnsi="Times New Roman"/>
          <w:sz w:val="18"/>
          <w:szCs w:val="18"/>
        </w:rPr>
        <w:t xml:space="preserve">функции и полномочия учредителя, главного распорядителя средств бюджета города, </w:t>
      </w:r>
    </w:p>
    <w:p>
      <w:pPr>
        <w:pStyle w:val="ConsPlusNormal"/>
        <w:ind w:left="5664" w:hanging="0"/>
        <w:jc w:val="center"/>
        <w:rPr>
          <w:rFonts w:ascii="Times New Roman" w:hAnsi="Times New Roman" w:cs="Times New Roman"/>
          <w:sz w:val="18"/>
          <w:szCs w:val="18"/>
        </w:rPr>
      </w:pPr>
      <w:r>
        <w:rPr>
          <w:rFonts w:cs="Times New Roman" w:ascii="Times New Roman" w:hAnsi="Times New Roman"/>
          <w:sz w:val="18"/>
          <w:szCs w:val="18"/>
        </w:rPr>
        <w:t>муниципального учреждения)</w:t>
      </w:r>
    </w:p>
    <w:p>
      <w:pPr>
        <w:pStyle w:val="ConsPlusNormal"/>
        <w:jc w:val="right"/>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______________   __________      _______________</w:t>
      </w:r>
    </w:p>
    <w:p>
      <w:pPr>
        <w:pStyle w:val="Normal"/>
        <w:ind w:right="-115" w:hanging="0"/>
        <w:rPr>
          <w:rFonts w:ascii="Times New Roman" w:hAnsi="Times New Roman" w:cs="Times New Roman"/>
          <w:sz w:val="18"/>
          <w:szCs w:val="18"/>
        </w:rPr>
      </w:pPr>
      <w:r>
        <w:rPr/>
        <w:t xml:space="preserve">   </w:t>
      </w:r>
      <w:r>
        <w:rPr/>
        <w:tab/>
        <w:tab/>
        <w:t xml:space="preserve">                                     </w:t>
        <w:tab/>
        <w:tab/>
        <w:tab/>
      </w:r>
      <w:r>
        <w:rPr>
          <w:rFonts w:cs="Times New Roman" w:ascii="Times New Roman" w:hAnsi="Times New Roman"/>
          <w:sz w:val="18"/>
          <w:szCs w:val="18"/>
        </w:rPr>
        <w:t xml:space="preserve">                 (должность)         (подпись)     (расшифровка подписи)</w:t>
      </w:r>
    </w:p>
    <w:p>
      <w:pPr>
        <w:pStyle w:val="Normal"/>
        <w:ind w:right="-115" w:hanging="0"/>
        <w:rPr>
          <w:rFonts w:ascii="Times New Roman" w:hAnsi="Times New Roman" w:cs="Times New Roman"/>
          <w:sz w:val="20"/>
          <w:szCs w:val="20"/>
        </w:rPr>
      </w:pPr>
      <w:r>
        <w:rPr>
          <w:rFonts w:cs="Times New Roman" w:ascii="Times New Roman" w:hAnsi="Times New Roman"/>
          <w:sz w:val="18"/>
          <w:szCs w:val="18"/>
        </w:rPr>
        <w:tab/>
        <w:tab/>
        <w:tab/>
        <w:tab/>
        <w:tab/>
        <w:tab/>
        <w:tab/>
        <w:tab/>
        <w:tab/>
      </w:r>
      <w:r>
        <w:rPr>
          <w:rFonts w:cs="Times New Roman" w:ascii="Times New Roman" w:hAnsi="Times New Roman"/>
          <w:sz w:val="20"/>
          <w:szCs w:val="20"/>
        </w:rPr>
        <w:t>«____»  ________________  20___ г.</w:t>
      </w:r>
    </w:p>
    <w:p>
      <w:pPr>
        <w:pStyle w:val="ConsPlusNormal"/>
        <w:rPr>
          <w:rFonts w:ascii="Times New Roman" w:hAnsi="Times New Roman" w:cs="Times New Roman"/>
          <w:sz w:val="20"/>
        </w:rPr>
      </w:pPr>
      <w:r>
        <w:rPr>
          <w:rFonts w:cs="Times New Roman" w:ascii="Times New Roman" w:hAnsi="Times New Roman"/>
          <w:sz w:val="20"/>
        </w:rPr>
      </w:r>
    </w:p>
    <w:p>
      <w:pPr>
        <w:pStyle w:val="Normal"/>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МУНИЦИПАЛЬНОЕ ЗАДАНИЕ</w:t>
      </w:r>
    </w:p>
    <w:p>
      <w:pPr>
        <w:pStyle w:val="Normal"/>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на 20 __ год и плановый период 20 __ и 20 __ годов</w:t>
      </w:r>
    </w:p>
    <w:tbl>
      <w:tblPr>
        <w:tblStyle w:val="a6"/>
        <w:tblpPr w:bottomFromText="0" w:horzAnchor="text" w:leftFromText="180" w:rightFromText="180" w:tblpX="0" w:tblpXSpec="right" w:tblpY="1" w:topFromText="0" w:vertAnchor="text"/>
        <w:tblW w:w="2835" w:type="dxa"/>
        <w:jc w:val="right"/>
        <w:tblInd w:w="0" w:type="dxa"/>
        <w:tblLayout w:type="fixed"/>
        <w:tblCellMar>
          <w:top w:w="0" w:type="dxa"/>
          <w:left w:w="108" w:type="dxa"/>
          <w:bottom w:w="0" w:type="dxa"/>
          <w:right w:w="108" w:type="dxa"/>
        </w:tblCellMar>
        <w:tblLook w:val="04a0"/>
      </w:tblPr>
      <w:tblGrid>
        <w:gridCol w:w="1499"/>
        <w:gridCol w:w="1335"/>
      </w:tblGrid>
      <w:tr>
        <w:trPr/>
        <w:tc>
          <w:tcPr>
            <w:tcW w:w="1499" w:type="dxa"/>
            <w:vMerge w:val="restart"/>
            <w:tcBorders>
              <w:top w:val="nil"/>
              <w:left w:val="nil"/>
            </w:tcBorders>
          </w:tcPr>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t>Форма по ОКУД</w:t>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t>Дата</w:t>
            </w:r>
          </w:p>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t>по Сводному реестру</w:t>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t xml:space="preserve">      </w:t>
            </w:r>
            <w:r>
              <w:rPr>
                <w:rFonts w:eastAsia="Calibri" w:cs="Times New Roman" w:ascii="Times New Roman" w:hAnsi="Times New Roman"/>
                <w:kern w:val="0"/>
                <w:sz w:val="20"/>
                <w:szCs w:val="20"/>
                <w:lang w:val="ru-RU" w:eastAsia="ru-RU" w:bidi="ar-SA"/>
              </w:rPr>
              <w:t>по ОКВЭД</w:t>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t>по ОКВЭД</w:t>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t>по ОКВЭД</w:t>
            </w:r>
          </w:p>
        </w:tc>
        <w:tc>
          <w:tcPr>
            <w:tcW w:w="1335" w:type="dxa"/>
            <w:tcBorders/>
          </w:tcPr>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t>Коды</w:t>
            </w:r>
          </w:p>
        </w:tc>
      </w:tr>
      <w:tr>
        <w:trPr/>
        <w:tc>
          <w:tcPr>
            <w:tcW w:w="1499" w:type="dxa"/>
            <w:vMerge w:val="continue"/>
            <w:tcBorders>
              <w:left w:val="nil"/>
            </w:tcBorders>
          </w:tcPr>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tc>
        <w:tc>
          <w:tcPr>
            <w:tcW w:w="1335" w:type="dxa"/>
            <w:tcBorders/>
          </w:tcPr>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t>0506001</w:t>
            </w:r>
          </w:p>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tc>
      </w:tr>
      <w:tr>
        <w:trPr/>
        <w:tc>
          <w:tcPr>
            <w:tcW w:w="1499" w:type="dxa"/>
            <w:vMerge w:val="continue"/>
            <w:tcBorders>
              <w:left w:val="nil"/>
            </w:tcBorders>
          </w:tcPr>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tc>
        <w:tc>
          <w:tcPr>
            <w:tcW w:w="1335" w:type="dxa"/>
            <w:tcBorders/>
          </w:tcPr>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tc>
      </w:tr>
      <w:tr>
        <w:trPr>
          <w:trHeight w:val="562" w:hRule="atLeast"/>
        </w:trPr>
        <w:tc>
          <w:tcPr>
            <w:tcW w:w="1499" w:type="dxa"/>
            <w:vMerge w:val="continue"/>
            <w:tcBorders>
              <w:left w:val="nil"/>
            </w:tcBorders>
          </w:tcPr>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tc>
        <w:tc>
          <w:tcPr>
            <w:tcW w:w="1335" w:type="dxa"/>
            <w:tcBorders/>
          </w:tcPr>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tc>
      </w:tr>
      <w:tr>
        <w:trPr>
          <w:trHeight w:val="540" w:hRule="atLeast"/>
        </w:trPr>
        <w:tc>
          <w:tcPr>
            <w:tcW w:w="1499" w:type="dxa"/>
            <w:vMerge w:val="continue"/>
            <w:tcBorders>
              <w:left w:val="nil"/>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kern w:val="0"/>
                <w:sz w:val="20"/>
                <w:szCs w:val="20"/>
                <w:lang w:val="ru-RU" w:eastAsia="ru-RU" w:bidi="ar-SA"/>
              </w:rPr>
            </w:r>
          </w:p>
        </w:tc>
        <w:tc>
          <w:tcPr>
            <w:tcW w:w="1335" w:type="dxa"/>
            <w:tcBorders/>
          </w:tcPr>
          <w:p>
            <w:pPr>
              <w:pStyle w:val="Normal"/>
              <w:widowControl/>
              <w:spacing w:lineRule="auto" w:line="240" w:before="0" w:after="0"/>
              <w:jc w:val="center"/>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center"/>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center"/>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center"/>
              <w:rPr>
                <w:rFonts w:ascii="Times New Roman" w:hAnsi="Times New Roman"/>
              </w:rPr>
            </w:pPr>
            <w:r>
              <w:rPr>
                <w:rFonts w:eastAsia="Calibri" w:cs="Times New Roman" w:ascii="Times New Roman" w:hAnsi="Times New Roman"/>
                <w:kern w:val="0"/>
                <w:sz w:val="20"/>
                <w:szCs w:val="20"/>
                <w:lang w:val="ru-RU" w:eastAsia="ru-RU" w:bidi="ar-SA"/>
              </w:rPr>
            </w:r>
          </w:p>
        </w:tc>
      </w:tr>
      <w:tr>
        <w:trPr>
          <w:trHeight w:val="422" w:hRule="atLeast"/>
        </w:trPr>
        <w:tc>
          <w:tcPr>
            <w:tcW w:w="1499" w:type="dxa"/>
            <w:vMerge w:val="continue"/>
            <w:tcBorders>
              <w:left w:val="nil"/>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kern w:val="0"/>
                <w:sz w:val="20"/>
                <w:szCs w:val="20"/>
                <w:lang w:val="ru-RU" w:eastAsia="ru-RU" w:bidi="ar-SA"/>
              </w:rPr>
            </w:r>
          </w:p>
        </w:tc>
        <w:tc>
          <w:tcPr>
            <w:tcW w:w="1335" w:type="dxa"/>
            <w:tcBorders/>
          </w:tcPr>
          <w:p>
            <w:pPr>
              <w:pStyle w:val="Normal"/>
              <w:widowControl/>
              <w:spacing w:lineRule="auto" w:line="240" w:before="0" w:after="0"/>
              <w:jc w:val="center"/>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center"/>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center"/>
              <w:rPr>
                <w:rFonts w:ascii="Times New Roman" w:hAnsi="Times New Roman"/>
              </w:rPr>
            </w:pPr>
            <w:r>
              <w:rPr>
                <w:rFonts w:eastAsia="Calibri" w:cs="Times New Roman" w:ascii="Times New Roman" w:hAnsi="Times New Roman"/>
                <w:kern w:val="0"/>
                <w:sz w:val="20"/>
                <w:szCs w:val="20"/>
                <w:lang w:val="ru-RU" w:eastAsia="ru-RU" w:bidi="ar-SA"/>
              </w:rPr>
            </w:r>
          </w:p>
        </w:tc>
      </w:tr>
      <w:tr>
        <w:trPr>
          <w:trHeight w:val="525" w:hRule="atLeast"/>
        </w:trPr>
        <w:tc>
          <w:tcPr>
            <w:tcW w:w="1499" w:type="dxa"/>
            <w:vMerge w:val="continue"/>
            <w:tcBorders>
              <w:left w:val="nil"/>
            </w:tcBorders>
          </w:tcPr>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tc>
        <w:tc>
          <w:tcPr>
            <w:tcW w:w="1335" w:type="dxa"/>
            <w:tcBorders/>
          </w:tcPr>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tc>
      </w:tr>
      <w:tr>
        <w:trPr>
          <w:trHeight w:val="645" w:hRule="atLeast"/>
        </w:trPr>
        <w:tc>
          <w:tcPr>
            <w:tcW w:w="1499" w:type="dxa"/>
            <w:vMerge w:val="continue"/>
            <w:tcBorders>
              <w:left w:val="nil"/>
              <w:bottom w:val="nil"/>
            </w:tcBorders>
          </w:tcPr>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tc>
        <w:tc>
          <w:tcPr>
            <w:tcW w:w="1335" w:type="dxa"/>
            <w:tcBorders/>
          </w:tcPr>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tc>
      </w:tr>
    </w:tbl>
    <w:p>
      <w:pPr>
        <w:pStyle w:val="Normal"/>
        <w:spacing w:lineRule="auto" w:line="240" w:before="0" w:after="0"/>
        <w:ind w:left="1814" w:firstLine="709"/>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left="1814" w:firstLine="709"/>
        <w:jc w:val="center"/>
        <w:rPr>
          <w:rFonts w:ascii="Times New Roman" w:hAnsi="Times New Roman" w:cs="Times New Roman"/>
          <w:sz w:val="20"/>
          <w:szCs w:val="20"/>
        </w:rPr>
      </w:pPr>
      <w:r>
        <w:rPr>
          <w:rFonts w:cs="Times New Roman" w:ascii="Times New Roman" w:hAnsi="Times New Roman"/>
          <w:sz w:val="20"/>
          <w:szCs w:val="20"/>
        </w:rPr>
        <w:t>от «____»_______________ 20 ___ г.</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t>Наименование</w:t>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t>муниципального учреждения</w:t>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t>(обособленного подразделения)__________________________________</w:t>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t>Виды деятельности муниципального учреждения</w:t>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t>(обособленного подразделения)  _________________________________</w:t>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w:t>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w:t>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_____________________________________________________________                                                                                </w:t>
      </w:r>
    </w:p>
    <w:p>
      <w:pPr>
        <w:pStyle w:val="Normal"/>
        <w:tabs>
          <w:tab w:val="clear" w:pos="708"/>
          <w:tab w:val="left" w:pos="1635" w:leader="none"/>
        </w:tabs>
        <w:spacing w:before="0" w:after="0"/>
        <w:contextualSpacing/>
        <w:jc w:val="center"/>
        <w:rPr>
          <w:rFonts w:ascii="Times New Roman" w:hAnsi="Times New Roman" w:cs="Times New Roman"/>
          <w:strike/>
          <w:sz w:val="20"/>
          <w:szCs w:val="20"/>
        </w:rPr>
      </w:pPr>
      <w:r>
        <w:rPr>
          <w:rFonts w:cs="Times New Roman" w:ascii="Times New Roman" w:hAnsi="Times New Roman"/>
          <w:strike/>
          <w:sz w:val="20"/>
          <w:szCs w:val="20"/>
        </w:rPr>
      </w:r>
    </w:p>
    <w:p>
      <w:pPr>
        <w:pStyle w:val="Normal"/>
        <w:tabs>
          <w:tab w:val="clear" w:pos="708"/>
          <w:tab w:val="left" w:pos="1635" w:leader="none"/>
        </w:tabs>
        <w:spacing w:before="0" w:after="0"/>
        <w:contextualSpacing/>
        <w:jc w:val="center"/>
        <w:rPr>
          <w:rFonts w:ascii="Times New Roman" w:hAnsi="Times New Roman" w:cs="Times New Roman"/>
          <w:strike/>
          <w:sz w:val="20"/>
          <w:szCs w:val="20"/>
        </w:rPr>
      </w:pPr>
      <w:r>
        <w:rPr>
          <w:rFonts w:cs="Times New Roman" w:ascii="Times New Roman" w:hAnsi="Times New Roman"/>
          <w:strike/>
          <w:sz w:val="20"/>
          <w:szCs w:val="20"/>
        </w:rPr>
      </w:r>
    </w:p>
    <w:p>
      <w:pPr>
        <w:pStyle w:val="Normal"/>
        <w:tabs>
          <w:tab w:val="clear" w:pos="708"/>
          <w:tab w:val="left" w:pos="1635" w:leader="none"/>
        </w:tabs>
        <w:spacing w:before="0" w:after="0"/>
        <w:contextualSpacing/>
        <w:jc w:val="center"/>
        <w:rPr>
          <w:rFonts w:ascii="Times New Roman" w:hAnsi="Times New Roman" w:cs="Times New Roman"/>
          <w:strike/>
          <w:sz w:val="20"/>
          <w:szCs w:val="20"/>
        </w:rPr>
      </w:pPr>
      <w:r>
        <w:rPr>
          <w:rFonts w:cs="Times New Roman" w:ascii="Times New Roman" w:hAnsi="Times New Roman"/>
          <w:strike/>
          <w:sz w:val="20"/>
          <w:szCs w:val="20"/>
        </w:rPr>
      </w:r>
    </w:p>
    <w:p>
      <w:pPr>
        <w:pStyle w:val="Normal"/>
        <w:tabs>
          <w:tab w:val="clear" w:pos="708"/>
          <w:tab w:val="left" w:pos="1635" w:leader="none"/>
        </w:tabs>
        <w:spacing w:before="0" w:after="0"/>
        <w:contextualSpacing/>
        <w:jc w:val="center"/>
        <w:rPr>
          <w:rFonts w:ascii="Times New Roman" w:hAnsi="Times New Roman" w:cs="Times New Roman"/>
          <w:strike/>
          <w:sz w:val="20"/>
          <w:szCs w:val="20"/>
        </w:rPr>
      </w:pPr>
      <w:r>
        <w:rPr>
          <w:rFonts w:cs="Times New Roman" w:ascii="Times New Roman" w:hAnsi="Times New Roman"/>
          <w:strike/>
          <w:sz w:val="20"/>
          <w:szCs w:val="20"/>
        </w:rPr>
      </w:r>
    </w:p>
    <w:p>
      <w:pPr>
        <w:pStyle w:val="Normal"/>
        <w:tabs>
          <w:tab w:val="clear" w:pos="708"/>
          <w:tab w:val="left" w:pos="1635" w:leader="none"/>
        </w:tabs>
        <w:spacing w:before="0" w:after="0"/>
        <w:contextualSpacing/>
        <w:jc w:val="center"/>
        <w:rPr>
          <w:rFonts w:ascii="Times New Roman" w:hAnsi="Times New Roman" w:cs="Times New Roman"/>
          <w:strike/>
          <w:sz w:val="20"/>
          <w:szCs w:val="20"/>
        </w:rPr>
      </w:pPr>
      <w:r>
        <w:rPr>
          <w:rFonts w:cs="Times New Roman" w:ascii="Times New Roman" w:hAnsi="Times New Roman"/>
          <w:strike/>
          <w:sz w:val="20"/>
          <w:szCs w:val="20"/>
        </w:rPr>
      </w:r>
    </w:p>
    <w:p>
      <w:pPr>
        <w:pStyle w:val="Normal"/>
        <w:tabs>
          <w:tab w:val="clear" w:pos="708"/>
          <w:tab w:val="left" w:pos="1635" w:leader="none"/>
        </w:tabs>
        <w:spacing w:before="0" w:after="0"/>
        <w:contextualSpacing/>
        <w:jc w:val="center"/>
        <w:rPr>
          <w:rFonts w:ascii="Times New Roman" w:hAnsi="Times New Roman" w:cs="Times New Roman"/>
          <w:strike/>
          <w:sz w:val="20"/>
          <w:szCs w:val="20"/>
        </w:rPr>
      </w:pPr>
      <w:r>
        <w:rPr>
          <w:rFonts w:cs="Times New Roman" w:ascii="Times New Roman" w:hAnsi="Times New Roman"/>
          <w:strike/>
          <w:sz w:val="20"/>
          <w:szCs w:val="20"/>
        </w:rPr>
      </w:r>
    </w:p>
    <w:p>
      <w:pPr>
        <w:pStyle w:val="Normal"/>
        <w:tabs>
          <w:tab w:val="clear" w:pos="708"/>
          <w:tab w:val="left" w:pos="1635" w:leader="none"/>
        </w:tabs>
        <w:spacing w:before="0" w:after="0"/>
        <w:contextualSpacing/>
        <w:jc w:val="center"/>
        <w:rPr>
          <w:rFonts w:ascii="Times New Roman" w:hAnsi="Times New Roman" w:cs="Times New Roman"/>
          <w:sz w:val="20"/>
          <w:szCs w:val="20"/>
        </w:rPr>
      </w:pPr>
      <w:r>
        <w:rPr>
          <w:rFonts w:cs="Times New Roman" w:ascii="Times New Roman" w:hAnsi="Times New Roman"/>
          <w:sz w:val="20"/>
          <w:szCs w:val="20"/>
        </w:rPr>
        <w:t xml:space="preserve">ЧАСТЬ 1. Сведения об оказываемых муниципальных услугах </w:t>
      </w:r>
      <w:r>
        <w:rPr>
          <w:rFonts w:cs="Times New Roman" w:ascii="Times New Roman" w:hAnsi="Times New Roman"/>
          <w:sz w:val="20"/>
          <w:szCs w:val="20"/>
          <w:vertAlign w:val="superscript"/>
        </w:rPr>
        <w:t>1)</w:t>
      </w:r>
      <w:r>
        <w:rPr>
          <w:rFonts w:cs="Times New Roman" w:ascii="Times New Roman" w:hAnsi="Times New Roman"/>
          <w:sz w:val="20"/>
          <w:szCs w:val="20"/>
        </w:rPr>
        <w:t xml:space="preserve"> </w:t>
      </w:r>
    </w:p>
    <w:p>
      <w:pPr>
        <w:pStyle w:val="Normal"/>
        <w:tabs>
          <w:tab w:val="clear" w:pos="708"/>
          <w:tab w:val="left" w:pos="1635" w:leader="none"/>
        </w:tabs>
        <w:spacing w:before="0" w:after="0"/>
        <w:contextualSpacing/>
        <w:jc w:val="center"/>
        <w:rPr>
          <w:rFonts w:ascii="Times New Roman" w:hAnsi="Times New Roman" w:cs="Times New Roman"/>
          <w:sz w:val="20"/>
          <w:szCs w:val="20"/>
        </w:rPr>
      </w:pPr>
      <w:r>
        <w:rPr>
          <w:rFonts w:cs="Times New Roman" w:ascii="Times New Roman" w:hAnsi="Times New Roman"/>
          <w:sz w:val="20"/>
          <w:szCs w:val="20"/>
        </w:rPr>
        <w:t>Раздел ____</w:t>
      </w:r>
    </w:p>
    <w:p>
      <w:pPr>
        <w:pStyle w:val="Normal"/>
        <w:tabs>
          <w:tab w:val="clear" w:pos="708"/>
          <w:tab w:val="left" w:pos="1770" w:leader="none"/>
        </w:tabs>
        <w:spacing w:before="0" w:after="0"/>
        <w:contextualSpacing/>
        <w:rPr>
          <w:rFonts w:ascii="Times New Roman" w:hAnsi="Times New Roman" w:cs="Times New Roman"/>
          <w:sz w:val="20"/>
          <w:szCs w:val="20"/>
        </w:rPr>
      </w:pPr>
      <w:r>
        <mc:AlternateContent>
          <mc:Choice Requires="wps">
            <w:drawing>
              <wp:anchor behindDoc="0" distT="0" distB="0" distL="114300" distR="114300" simplePos="0" locked="0" layoutInCell="0" allowOverlap="1" relativeHeight="13">
                <wp:simplePos x="0" y="0"/>
                <wp:positionH relativeFrom="column">
                  <wp:posOffset>5451475</wp:posOffset>
                </wp:positionH>
                <wp:positionV relativeFrom="paragraph">
                  <wp:posOffset>36830</wp:posOffset>
                </wp:positionV>
                <wp:extent cx="840740" cy="391160"/>
                <wp:effectExtent l="0" t="0" r="0" b="0"/>
                <wp:wrapNone/>
                <wp:docPr id="9" name=""/>
                <a:graphic xmlns:a="http://schemas.openxmlformats.org/drawingml/2006/main">
                  <a:graphicData uri="http://schemas.microsoft.com/office/word/2010/wordprocessingShape">
                    <wps:wsp>
                      <wps:cNvSpPr/>
                      <wps:nvSpPr>
                        <wps:cNvPr id="1" name="Rectangle 1"/>
                        <wps:cNvSpPr/>
                      </wps:nvSpPr>
                      <wps:spPr>
                        <a:xfrm>
                          <a:off x="0" y="0"/>
                          <a:ext cx="840240" cy="390600"/>
                        </a:xfrm>
                        <a:prstGeom prst="rect">
                          <a:avLst/>
                        </a:prstGeom>
                        <a:solidFill>
                          <a:srgbClr val="ffffff"/>
                        </a:solidFill>
                        <a:ln w="0">
                          <a:solidFill>
                            <a:srgbClr val="000000"/>
                          </a:solidFill>
                        </a:ln>
                      </wps:spPr>
                      <wps:bodyPr/>
                    </wps:wsp>
                  </a:graphicData>
                </a:graphic>
              </wp:anchor>
            </w:drawing>
          </mc:Choice>
          <mc:Fallback>
            <w:pict>
              <v:rect id="shape_0" fillcolor="white" stroked="t" style="position:absolute;margin-left:429.25pt;margin-top:2.9pt;width:66.1pt;height:30.7pt;mso-wrap-style:none;v-text-anchor:middle">
                <v:fill o:detectmouseclick="t" type="solid" color2="black"/>
                <v:stroke color="black" joinstyle="round" endcap="flat"/>
                <w10:wrap type="none"/>
              </v:rect>
            </w:pict>
          </mc:Fallback>
        </mc:AlternateContent>
      </w:r>
      <w:r>
        <w:rPr>
          <w:rFonts w:cs="Times New Roman" w:ascii="Times New Roman" w:hAnsi="Times New Roman"/>
          <w:sz w:val="20"/>
          <w:szCs w:val="20"/>
        </w:rPr>
        <w:t>1</w:t>
      </w:r>
      <w:r>
        <w:rPr>
          <w:rFonts w:cs="Times New Roman" w:ascii="Times New Roman" w:hAnsi="Times New Roman"/>
          <w:sz w:val="20"/>
          <w:szCs w:val="20"/>
        </w:rPr>
        <w:t xml:space="preserve">. Наименование                                                         </w:t>
        <w:tab/>
        <w:tab/>
        <w:t xml:space="preserve">         Код по общероссийскому</w:t>
      </w:r>
    </w:p>
    <w:p>
      <w:pPr>
        <w:pStyle w:val="Normal"/>
        <w:tabs>
          <w:tab w:val="clear" w:pos="708"/>
          <w:tab w:val="left" w:pos="1770" w:leader="none"/>
        </w:tabs>
        <w:spacing w:before="0" w:after="0"/>
        <w:contextualSpacing/>
        <w:rPr>
          <w:rFonts w:ascii="Times New Roman" w:hAnsi="Times New Roman" w:cs="Times New Roman"/>
          <w:sz w:val="20"/>
          <w:szCs w:val="20"/>
        </w:rPr>
      </w:pPr>
      <w:r>
        <w:rPr>
          <w:rFonts w:cs="Times New Roman" w:ascii="Times New Roman" w:hAnsi="Times New Roman"/>
          <w:sz w:val="20"/>
          <w:szCs w:val="20"/>
        </w:rPr>
        <w:t>муниципальной услуги_____________________________________           базовому (отраслевому)</w:t>
      </w:r>
      <w:r>
        <w:rPr>
          <w:rFonts w:cs="Times New Roman" w:ascii="Times New Roman" w:hAnsi="Times New Roman"/>
          <w:sz w:val="20"/>
          <w:szCs w:val="20"/>
          <w:vertAlign w:val="superscript"/>
        </w:rPr>
        <w:t xml:space="preserve"> 2)</w:t>
      </w:r>
    </w:p>
    <w:p>
      <w:pPr>
        <w:pStyle w:val="Normal"/>
        <w:tabs>
          <w:tab w:val="clear" w:pos="708"/>
          <w:tab w:val="left" w:pos="1770" w:leader="none"/>
        </w:tabs>
        <w:spacing w:before="0" w:after="0"/>
        <w:contextualSpacing/>
        <w:rPr>
          <w:rFonts w:ascii="Times New Roman" w:hAnsi="Times New Roman" w:cs="Times New Roman"/>
          <w:sz w:val="20"/>
          <w:szCs w:val="20"/>
        </w:rPr>
      </w:pPr>
      <w:r>
        <mc:AlternateContent>
          <mc:Choice Requires="wps">
            <w:drawing>
              <wp:anchor behindDoc="0" distT="0" distB="0" distL="114300" distR="114300" simplePos="0" locked="0" layoutInCell="0" allowOverlap="1" relativeHeight="15">
                <wp:simplePos x="0" y="0"/>
                <wp:positionH relativeFrom="column">
                  <wp:posOffset>5451475</wp:posOffset>
                </wp:positionH>
                <wp:positionV relativeFrom="paragraph">
                  <wp:posOffset>91440</wp:posOffset>
                </wp:positionV>
                <wp:extent cx="840740" cy="582295"/>
                <wp:effectExtent l="0" t="0" r="0" b="0"/>
                <wp:wrapNone/>
                <wp:docPr id="10" name=""/>
                <a:graphic xmlns:a="http://schemas.openxmlformats.org/drawingml/2006/main">
                  <a:graphicData uri="http://schemas.microsoft.com/office/word/2010/wordprocessingShape">
                    <wps:wsp>
                      <wps:cNvSpPr/>
                      <wps:nvSpPr>
                        <wps:cNvPr id="2" name="Rectangle 1"/>
                        <wps:cNvSpPr/>
                      </wps:nvSpPr>
                      <wps:spPr>
                        <a:xfrm>
                          <a:off x="0" y="0"/>
                          <a:ext cx="840240" cy="581760"/>
                        </a:xfrm>
                        <a:prstGeom prst="rect">
                          <a:avLst/>
                        </a:prstGeom>
                        <a:solidFill>
                          <a:srgbClr val="ffffff"/>
                        </a:solidFill>
                        <a:ln w="0">
                          <a:solidFill>
                            <a:srgbClr val="000000"/>
                          </a:solidFill>
                        </a:ln>
                      </wps:spPr>
                      <wps:bodyPr/>
                    </wps:wsp>
                  </a:graphicData>
                </a:graphic>
              </wp:anchor>
            </w:drawing>
          </mc:Choice>
          <mc:Fallback>
            <w:pict>
              <v:rect id="shape_0" fillcolor="white" stroked="t" style="position:absolute;margin-left:429.25pt;margin-top:7.2pt;width:66.1pt;height:45.75pt;mso-wrap-style:none;v-text-anchor:middle">
                <v:fill o:detectmouseclick="t" type="solid" color2="black"/>
                <v:stroke color="black" joinstyle="round" endcap="flat"/>
                <w10:wrap type="none"/>
              </v:rect>
            </w:pict>
          </mc:Fallback>
        </mc:AlternateContent>
      </w:r>
      <w:r>
        <w:rPr>
          <w:rFonts w:cs="Times New Roman" w:ascii="Times New Roman" w:hAnsi="Times New Roman"/>
          <w:sz w:val="20"/>
          <w:szCs w:val="20"/>
        </w:rPr>
        <w:t xml:space="preserve"> </w:t>
      </w:r>
      <w:r>
        <w:rPr>
          <w:rFonts w:cs="Times New Roman" w:ascii="Times New Roman" w:hAnsi="Times New Roman"/>
          <w:sz w:val="20"/>
          <w:szCs w:val="20"/>
        </w:rPr>
        <w:t xml:space="preserve">                                                                                                                                   </w:t>
      </w:r>
      <w:r>
        <w:rPr>
          <w:rFonts w:cs="Times New Roman" w:ascii="Times New Roman" w:hAnsi="Times New Roman"/>
          <w:sz w:val="20"/>
          <w:szCs w:val="20"/>
        </w:rPr>
        <w:t xml:space="preserve">или региональному </w:t>
      </w:r>
      <w:r>
        <w:rPr>
          <w:rFonts w:cs="Times New Roman" w:ascii="Times New Roman" w:hAnsi="Times New Roman"/>
          <w:sz w:val="20"/>
          <w:szCs w:val="20"/>
          <w:vertAlign w:val="superscript"/>
        </w:rPr>
        <w:t>3)</w:t>
      </w:r>
    </w:p>
    <w:p>
      <w:pPr>
        <w:pStyle w:val="Normal"/>
        <w:tabs>
          <w:tab w:val="clear" w:pos="708"/>
          <w:tab w:val="left" w:pos="1770" w:leader="none"/>
        </w:tabs>
        <w:spacing w:before="0" w:after="0"/>
        <w:contextual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________________________________________________________                                     перечню                                                                                                       </w:t>
      </w:r>
    </w:p>
    <w:p>
      <w:pPr>
        <w:pStyle w:val="Normal"/>
        <w:tabs>
          <w:tab w:val="clear" w:pos="708"/>
          <w:tab w:val="left" w:pos="1770" w:leader="none"/>
        </w:tabs>
        <w:spacing w:before="0" w:after="0"/>
        <w:contextualSpacing/>
        <w:rPr>
          <w:rFonts w:ascii="Times New Roman" w:hAnsi="Times New Roman" w:cs="Times New Roman"/>
          <w:sz w:val="20"/>
          <w:szCs w:val="20"/>
        </w:rPr>
      </w:pPr>
      <w:r>
        <w:rPr>
          <w:rFonts w:cs="Times New Roman" w:ascii="Times New Roman" w:hAnsi="Times New Roman"/>
          <w:sz w:val="20"/>
          <w:szCs w:val="20"/>
        </w:rPr>
        <w:tab/>
        <w:tab/>
        <w:tab/>
        <w:tab/>
        <w:tab/>
        <w:tab/>
        <w:tab/>
        <w:t xml:space="preserve">     </w:t>
      </w:r>
    </w:p>
    <w:p>
      <w:pPr>
        <w:pStyle w:val="Normal"/>
        <w:tabs>
          <w:tab w:val="clear" w:pos="708"/>
          <w:tab w:val="left" w:pos="1770" w:leader="none"/>
        </w:tabs>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_____________________________________________________________________________________</w:t>
      </w:r>
    </w:p>
    <w:p>
      <w:pPr>
        <w:pStyle w:val="Normal"/>
        <w:tabs>
          <w:tab w:val="clear" w:pos="708"/>
          <w:tab w:val="left" w:pos="1770"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2. Категории потребителей муниципальной услуги_____________________________________</w:t>
      </w:r>
    </w:p>
    <w:p>
      <w:pPr>
        <w:pStyle w:val="Normal"/>
        <w:tabs>
          <w:tab w:val="clear" w:pos="708"/>
          <w:tab w:val="left" w:pos="1770"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w:t>
      </w:r>
    </w:p>
    <w:p>
      <w:pPr>
        <w:pStyle w:val="Normal"/>
        <w:tabs>
          <w:tab w:val="clear" w:pos="708"/>
          <w:tab w:val="left" w:pos="1770"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w:t>
      </w:r>
    </w:p>
    <w:p>
      <w:pPr>
        <w:pStyle w:val="Normal"/>
        <w:tabs>
          <w:tab w:val="clear" w:pos="708"/>
          <w:tab w:val="left" w:pos="1770"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1770"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3. Показатели, характеризующие объем (содержание) и (или) качество муниципальной услуги</w:t>
      </w:r>
    </w:p>
    <w:p>
      <w:pPr>
        <w:pStyle w:val="Normal"/>
        <w:tabs>
          <w:tab w:val="clear" w:pos="708"/>
          <w:tab w:val="left" w:pos="1770"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3.1. Показатели, характеризующие качество муниципальной услуги </w:t>
      </w:r>
      <w:r>
        <w:rPr>
          <w:rFonts w:cs="Times New Roman" w:ascii="Times New Roman" w:hAnsi="Times New Roman"/>
          <w:sz w:val="20"/>
          <w:szCs w:val="20"/>
          <w:vertAlign w:val="superscript"/>
        </w:rPr>
        <w:t>4)</w:t>
      </w:r>
    </w:p>
    <w:tbl>
      <w:tblPr>
        <w:tblW w:w="10065" w:type="dxa"/>
        <w:jc w:val="left"/>
        <w:tblInd w:w="109" w:type="dxa"/>
        <w:tblLayout w:type="fixed"/>
        <w:tblCellMar>
          <w:top w:w="0" w:type="dxa"/>
          <w:left w:w="108" w:type="dxa"/>
          <w:bottom w:w="0" w:type="dxa"/>
          <w:right w:w="108" w:type="dxa"/>
        </w:tblCellMar>
        <w:tblLook w:val="04a0"/>
      </w:tblPr>
      <w:tblGrid>
        <w:gridCol w:w="851"/>
        <w:gridCol w:w="849"/>
        <w:gridCol w:w="852"/>
        <w:gridCol w:w="849"/>
        <w:gridCol w:w="852"/>
        <w:gridCol w:w="849"/>
        <w:gridCol w:w="852"/>
        <w:gridCol w:w="849"/>
        <w:gridCol w:w="709"/>
        <w:gridCol w:w="852"/>
        <w:gridCol w:w="849"/>
        <w:gridCol w:w="851"/>
      </w:tblGrid>
      <w:tr>
        <w:trPr>
          <w:trHeight w:val="1254" w:hRule="atLeast"/>
        </w:trPr>
        <w:tc>
          <w:tcPr>
            <w:tcW w:w="851" w:type="dxa"/>
            <w:vMerge w:val="restart"/>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Уникальный номер реестровой записи по общероссийскому базовому (отраслевому)</w:t>
            </w:r>
            <w:r>
              <w:rPr>
                <w:rFonts w:cs="Times New Roman" w:ascii="Times New Roman" w:hAnsi="Times New Roman"/>
                <w:sz w:val="20"/>
                <w:szCs w:val="20"/>
                <w:vertAlign w:val="superscript"/>
              </w:rPr>
              <w:t xml:space="preserve"> 5)</w:t>
            </w:r>
            <w:r>
              <w:rPr>
                <w:rFonts w:eastAsia="Times New Roman" w:ascii="Times New Roman" w:hAnsi="Times New Roman"/>
                <w:color w:val="000000"/>
                <w:sz w:val="16"/>
                <w:szCs w:val="16"/>
                <w:lang w:eastAsia="ru-RU"/>
              </w:rPr>
              <w:t xml:space="preserve"> или региональному</w:t>
            </w:r>
            <w:r>
              <w:rPr>
                <w:rFonts w:cs="Times New Roman" w:ascii="Times New Roman" w:hAnsi="Times New Roman"/>
                <w:sz w:val="20"/>
                <w:szCs w:val="20"/>
                <w:vertAlign w:val="superscript"/>
              </w:rPr>
              <w:t xml:space="preserve">6) </w:t>
            </w:r>
            <w:r>
              <w:rPr>
                <w:rFonts w:eastAsia="Times New Roman" w:ascii="Times New Roman" w:hAnsi="Times New Roman"/>
                <w:color w:val="000000"/>
                <w:sz w:val="16"/>
                <w:szCs w:val="16"/>
                <w:lang w:eastAsia="ru-RU"/>
              </w:rPr>
              <w:t>перечню</w:t>
            </w:r>
          </w:p>
        </w:tc>
        <w:tc>
          <w:tcPr>
            <w:tcW w:w="2550" w:type="dxa"/>
            <w:gridSpan w:val="3"/>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Показатель, характеризующий содержание муниципальной услуги</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 справочникам)</w:t>
            </w:r>
          </w:p>
        </w:tc>
        <w:tc>
          <w:tcPr>
            <w:tcW w:w="1701"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Показатель, характеризующий условия (формы) оказания муниципальной услуги</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 справочникам)</w:t>
            </w:r>
          </w:p>
        </w:tc>
        <w:tc>
          <w:tcPr>
            <w:tcW w:w="2410" w:type="dxa"/>
            <w:gridSpan w:val="3"/>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Показатель качества муниципальной услуги</w:t>
            </w:r>
          </w:p>
        </w:tc>
        <w:tc>
          <w:tcPr>
            <w:tcW w:w="2552" w:type="dxa"/>
            <w:gridSpan w:val="3"/>
            <w:tcBorders>
              <w:top w:val="single" w:sz="8" w:space="0" w:color="000000"/>
              <w:bottom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Значение показателя качества муниципальной услуги</w:t>
            </w:r>
          </w:p>
        </w:tc>
      </w:tr>
      <w:tr>
        <w:trPr>
          <w:trHeight w:val="900" w:hRule="atLeast"/>
        </w:trPr>
        <w:tc>
          <w:tcPr>
            <w:tcW w:w="851" w:type="dxa"/>
            <w:vMerge w:val="continue"/>
            <w:tcBorders>
              <w:top w:val="single" w:sz="8" w:space="0" w:color="000000"/>
              <w:left w:val="single" w:sz="4"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2550" w:type="dxa"/>
            <w:gridSpan w:val="3"/>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701" w:type="dxa"/>
            <w:gridSpan w:val="2"/>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 показателя</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58" w:type="dxa"/>
            <w:gridSpan w:val="2"/>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sz w:val="16"/>
                <w:szCs w:val="16"/>
                <w:lang w:eastAsia="ru-RU"/>
              </w:rPr>
            </w:pPr>
            <w:hyperlink r:id="rId18">
              <w:r>
                <w:rPr>
                  <w:rFonts w:eastAsia="Times New Roman" w:ascii="Times New Roman" w:hAnsi="Times New Roman"/>
                  <w:sz w:val="16"/>
                  <w:szCs w:val="16"/>
                  <w:lang w:eastAsia="ru-RU"/>
                </w:rPr>
                <w:t>единица измерения</w:t>
              </w:r>
            </w:hyperlink>
          </w:p>
        </w:tc>
        <w:tc>
          <w:tcPr>
            <w:tcW w:w="85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20__ год (очередной финансовый год)</w:t>
            </w:r>
          </w:p>
        </w:tc>
        <w:tc>
          <w:tcPr>
            <w:tcW w:w="84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20__ год (1-й год планового периода)</w:t>
            </w:r>
          </w:p>
        </w:tc>
        <w:tc>
          <w:tcPr>
            <w:tcW w:w="851" w:type="dxa"/>
            <w:vMerge w:val="restart"/>
            <w:tcBorders>
              <w:left w:val="single" w:sz="8" w:space="0" w:color="000000"/>
              <w:bottom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20__ год (2-й год планового периода)</w:t>
            </w:r>
          </w:p>
        </w:tc>
      </w:tr>
      <w:tr>
        <w:trPr>
          <w:trHeight w:val="600" w:hRule="atLeast"/>
        </w:trPr>
        <w:tc>
          <w:tcPr>
            <w:tcW w:w="851" w:type="dxa"/>
            <w:vMerge w:val="continue"/>
            <w:tcBorders>
              <w:top w:val="single" w:sz="8" w:space="0" w:color="000000"/>
              <w:left w:val="single" w:sz="4"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 показателя</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 показателя</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 показателя</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 показателя</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 показателя</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код</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 ОКЕИ</w:t>
            </w:r>
            <w:r>
              <w:rPr>
                <w:rFonts w:cs="Times New Roman" w:ascii="Times New Roman" w:hAnsi="Times New Roman"/>
                <w:sz w:val="20"/>
                <w:szCs w:val="20"/>
                <w:vertAlign w:val="superscript"/>
              </w:rPr>
              <w:t>7)</w:t>
            </w:r>
          </w:p>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r>
      <w:tr>
        <w:trPr>
          <w:trHeight w:val="300" w:hRule="atLeast"/>
        </w:trPr>
        <w:tc>
          <w:tcPr>
            <w:tcW w:w="851" w:type="dxa"/>
            <w:vMerge w:val="continue"/>
            <w:tcBorders>
              <w:top w:val="single" w:sz="8" w:space="0" w:color="000000"/>
              <w:left w:val="single" w:sz="4"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r>
      <w:tr>
        <w:trPr>
          <w:trHeight w:val="300" w:hRule="atLeast"/>
        </w:trPr>
        <w:tc>
          <w:tcPr>
            <w:tcW w:w="851" w:type="dxa"/>
            <w:vMerge w:val="continue"/>
            <w:tcBorders>
              <w:top w:val="single" w:sz="8" w:space="0" w:color="000000"/>
              <w:left w:val="single" w:sz="4"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r>
      <w:tr>
        <w:trPr>
          <w:trHeight w:val="184" w:hRule="atLeast"/>
        </w:trPr>
        <w:tc>
          <w:tcPr>
            <w:tcW w:w="851" w:type="dxa"/>
            <w:vMerge w:val="continue"/>
            <w:tcBorders>
              <w:top w:val="single" w:sz="8" w:space="0" w:color="000000"/>
              <w:left w:val="single" w:sz="4"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r>
      <w:tr>
        <w:trPr>
          <w:trHeight w:val="315" w:hRule="atLeast"/>
        </w:trPr>
        <w:tc>
          <w:tcPr>
            <w:tcW w:w="851" w:type="dxa"/>
            <w:tcBorders>
              <w:left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3</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4</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5</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6</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7</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8</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9</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10</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11</w:t>
            </w:r>
          </w:p>
        </w:tc>
        <w:tc>
          <w:tcPr>
            <w:tcW w:w="851" w:type="dxa"/>
            <w:tcBorders>
              <w:bottom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12</w:t>
            </w:r>
          </w:p>
        </w:tc>
      </w:tr>
      <w:tr>
        <w:trPr>
          <w:trHeight w:val="315" w:hRule="atLeast"/>
        </w:trPr>
        <w:tc>
          <w:tcPr>
            <w:tcW w:w="85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4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5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4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5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4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51" w:type="dxa"/>
            <w:tcBorders>
              <w:bottom w:val="single" w:sz="8" w:space="0" w:color="000000"/>
              <w:right w:val="single" w:sz="4"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r>
      <w:tr>
        <w:trPr>
          <w:trHeight w:val="315" w:hRule="atLeast"/>
        </w:trPr>
        <w:tc>
          <w:tcPr>
            <w:tcW w:w="85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r>
      <w:tr>
        <w:trPr>
          <w:trHeight w:val="315" w:hRule="atLeast"/>
        </w:trPr>
        <w:tc>
          <w:tcPr>
            <w:tcW w:w="85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4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5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4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5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4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r>
      <w:tr>
        <w:trPr>
          <w:trHeight w:val="315" w:hRule="atLeast"/>
        </w:trPr>
        <w:tc>
          <w:tcPr>
            <w:tcW w:w="85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olor w:val="000000"/>
                <w:sz w:val="16"/>
                <w:szCs w:val="16"/>
                <w:lang w:eastAsia="ru-RU"/>
              </w:rPr>
            </w:pPr>
            <w:r>
              <w:rPr>
                <w:rFonts w:eastAsia="Times New Roman" w:cs="Calibri"/>
                <w:color w:val="000000"/>
                <w:sz w:val="16"/>
                <w:szCs w:val="16"/>
                <w:lang w:eastAsia="ru-RU"/>
              </w:rPr>
              <w:t> </w:t>
            </w:r>
          </w:p>
        </w:tc>
      </w:tr>
    </w:tbl>
    <w:p>
      <w:pPr>
        <w:pStyle w:val="ConsPlusNormal"/>
        <w:jc w:val="both"/>
        <w:rPr>
          <w:rFonts w:ascii="Times New Roman" w:hAnsi="Times New Roman" w:cs="Times New Roman"/>
          <w:sz w:val="28"/>
          <w:szCs w:val="28"/>
        </w:rPr>
      </w:pPr>
      <w:r>
        <w:rPr/>
      </w:r>
    </w:p>
    <w:p>
      <w:pPr>
        <w:pStyle w:val="ConsPlusNonformat"/>
        <w:jc w:val="both"/>
        <w:rPr>
          <w:rFonts w:ascii="Times New Roman" w:hAnsi="Times New Roman" w:cs="Times New Roman"/>
        </w:rPr>
      </w:pPr>
      <w:r>
        <mc:AlternateContent>
          <mc:Choice Requires="wps">
            <w:drawing>
              <wp:anchor behindDoc="0" distT="0" distB="0" distL="114300" distR="114300" simplePos="0" locked="0" layoutInCell="0" allowOverlap="1" relativeHeight="16">
                <wp:simplePos x="0" y="0"/>
                <wp:positionH relativeFrom="column">
                  <wp:posOffset>3689985</wp:posOffset>
                </wp:positionH>
                <wp:positionV relativeFrom="paragraph">
                  <wp:posOffset>59055</wp:posOffset>
                </wp:positionV>
                <wp:extent cx="1696085" cy="373380"/>
                <wp:effectExtent l="0" t="0" r="0" b="0"/>
                <wp:wrapNone/>
                <wp:docPr id="11" name=""/>
                <a:graphic xmlns:a="http://schemas.openxmlformats.org/drawingml/2006/main">
                  <a:graphicData uri="http://schemas.microsoft.com/office/word/2010/wordprocessingShape">
                    <wps:wsp>
                      <wps:cNvSpPr/>
                      <wps:nvSpPr>
                        <wps:cNvPr id="3" name="Rectangle 1"/>
                        <wps:cNvSpPr/>
                      </wps:nvSpPr>
                      <wps:spPr>
                        <a:xfrm>
                          <a:off x="0" y="0"/>
                          <a:ext cx="1695600" cy="372600"/>
                        </a:xfrm>
                        <a:prstGeom prst="rect">
                          <a:avLst/>
                        </a:prstGeom>
                        <a:solidFill>
                          <a:srgbClr val="ffffff"/>
                        </a:solidFill>
                        <a:ln w="0">
                          <a:solidFill>
                            <a:srgbClr val="000000"/>
                          </a:solidFill>
                        </a:ln>
                      </wps:spPr>
                      <wps:bodyPr/>
                    </wps:wsp>
                  </a:graphicData>
                </a:graphic>
              </wp:anchor>
            </w:drawing>
          </mc:Choice>
          <mc:Fallback>
            <w:pict>
              <v:rect id="shape_0" fillcolor="white" stroked="t" style="position:absolute;margin-left:290.55pt;margin-top:4.65pt;width:133.45pt;height:29.3pt;mso-wrap-style:none;v-text-anchor:middle">
                <v:fill o:detectmouseclick="t" type="solid" color2="black"/>
                <v:stroke color="black" joinstyle="round" endcap="flat"/>
                <w10:wrap type="none"/>
              </v:rect>
            </w:pict>
          </mc:Fallback>
        </mc:AlternateContent>
      </w:r>
      <w:r>
        <w:rPr>
          <w:rFonts w:cs="Times New Roman" w:ascii="Times New Roman" w:hAnsi="Times New Roman"/>
        </w:rPr>
        <w:t>Д</w:t>
      </w:r>
      <w:r>
        <w:rPr>
          <w:rFonts w:cs="Times New Roman" w:ascii="Times New Roman" w:hAnsi="Times New Roman"/>
        </w:rPr>
        <w:t xml:space="preserve">опустимые (возможные) отклонения от установленных  </w:t>
      </w:r>
    </w:p>
    <w:p>
      <w:pPr>
        <w:pStyle w:val="ConsPlusNonformat"/>
        <w:jc w:val="both"/>
        <w:rPr>
          <w:rFonts w:ascii="Times New Roman" w:hAnsi="Times New Roman" w:cs="Times New Roman"/>
        </w:rPr>
      </w:pPr>
      <w:r>
        <w:rPr>
          <w:rFonts w:cs="Times New Roman" w:ascii="Times New Roman" w:hAnsi="Times New Roman"/>
        </w:rPr>
        <w:t xml:space="preserve">показателей  качества  муниципальной  услуги,  в    </w:t>
      </w:r>
    </w:p>
    <w:p>
      <w:pPr>
        <w:pStyle w:val="ConsPlusNonformat"/>
        <w:jc w:val="both"/>
        <w:rPr>
          <w:rFonts w:ascii="Times New Roman" w:hAnsi="Times New Roman" w:cs="Times New Roman"/>
        </w:rPr>
      </w:pPr>
      <w:r>
        <w:rPr>
          <w:rFonts w:cs="Times New Roman" w:ascii="Times New Roman" w:hAnsi="Times New Roman"/>
        </w:rPr>
        <w:t xml:space="preserve">пределах которых муниципальное задание считается    </w:t>
      </w:r>
    </w:p>
    <w:p>
      <w:pPr>
        <w:pStyle w:val="ConsPlusNonformat"/>
        <w:jc w:val="both"/>
        <w:rPr>
          <w:rFonts w:ascii="Times New Roman" w:hAnsi="Times New Roman" w:cs="Times New Roman"/>
        </w:rPr>
      </w:pPr>
      <w:r>
        <w:rPr>
          <w:rFonts w:cs="Times New Roman" w:ascii="Times New Roman" w:hAnsi="Times New Roman"/>
        </w:rPr>
        <w:t xml:space="preserve">выполненным (в %)                                   </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rFonts w:ascii="Times New Roman" w:hAnsi="Times New Roman" w:cs="Times New Roman"/>
        </w:rPr>
      </w:pPr>
      <w:r>
        <w:rPr>
          <w:rFonts w:cs="Times New Roman" w:ascii="Times New Roman" w:hAnsi="Times New Roman"/>
        </w:rPr>
        <w:t>3.2. Показатели, характеризующие объем муниципальной услуги</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tbl>
      <w:tblPr>
        <w:tblW w:w="10390" w:type="dxa"/>
        <w:jc w:val="left"/>
        <w:tblInd w:w="0" w:type="dxa"/>
        <w:tblLayout w:type="fixed"/>
        <w:tblCellMar>
          <w:top w:w="0" w:type="dxa"/>
          <w:left w:w="108" w:type="dxa"/>
          <w:bottom w:w="0" w:type="dxa"/>
          <w:right w:w="108" w:type="dxa"/>
        </w:tblCellMar>
        <w:tblLook w:val="04a0"/>
      </w:tblPr>
      <w:tblGrid>
        <w:gridCol w:w="675"/>
        <w:gridCol w:w="708"/>
        <w:gridCol w:w="709"/>
        <w:gridCol w:w="710"/>
        <w:gridCol w:w="707"/>
        <w:gridCol w:w="710"/>
        <w:gridCol w:w="708"/>
        <w:gridCol w:w="568"/>
        <w:gridCol w:w="708"/>
        <w:gridCol w:w="709"/>
        <w:gridCol w:w="709"/>
        <w:gridCol w:w="708"/>
        <w:gridCol w:w="710"/>
        <w:gridCol w:w="707"/>
        <w:gridCol w:w="644"/>
      </w:tblGrid>
      <w:tr>
        <w:trPr/>
        <w:tc>
          <w:tcPr>
            <w:tcW w:w="67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ascii="Times New Roman" w:hAnsi="Times New Roman"/>
                <w:color w:val="000000"/>
                <w:sz w:val="16"/>
                <w:szCs w:val="16"/>
              </w:rPr>
              <w:t>Уникальный номер реестровой записи по общероссийскому базовому (отраслевому)</w:t>
            </w:r>
            <w:r>
              <w:rPr>
                <w:rFonts w:cs="Times New Roman" w:ascii="Times New Roman" w:hAnsi="Times New Roman"/>
                <w:sz w:val="20"/>
                <w:vertAlign w:val="superscript"/>
              </w:rPr>
              <w:t xml:space="preserve"> 5</w:t>
            </w:r>
            <w:r>
              <w:rPr>
                <w:rFonts w:ascii="Times New Roman" w:hAnsi="Times New Roman"/>
                <w:color w:val="000000"/>
                <w:sz w:val="16"/>
                <w:szCs w:val="16"/>
              </w:rPr>
              <w:t xml:space="preserve"> или региональному</w:t>
            </w:r>
            <w:r>
              <w:rPr>
                <w:rFonts w:cs="Times New Roman" w:ascii="Times New Roman" w:hAnsi="Times New Roman"/>
                <w:sz w:val="20"/>
                <w:vertAlign w:val="superscript"/>
              </w:rPr>
              <w:t xml:space="preserve">6) </w:t>
            </w:r>
            <w:r>
              <w:rPr>
                <w:rFonts w:ascii="Times New Roman" w:hAnsi="Times New Roman"/>
                <w:color w:val="000000"/>
                <w:sz w:val="16"/>
                <w:szCs w:val="16"/>
              </w:rPr>
              <w:t>перечню</w:t>
            </w:r>
          </w:p>
        </w:tc>
        <w:tc>
          <w:tcPr>
            <w:tcW w:w="2127"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Показатель, характеризующий содержание муниципальной услуги</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(по справочникам)</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16"/>
                <w:szCs w:val="16"/>
              </w:rPr>
            </w:pPr>
            <w:r>
              <w:rPr>
                <w:rFonts w:ascii="Times New Roman" w:hAnsi="Times New Roman"/>
                <w:sz w:val="16"/>
                <w:szCs w:val="16"/>
              </w:rPr>
              <w:t>Показатель, характеризующий условия (формы) оказания муниципальной услуги</w:t>
            </w:r>
          </w:p>
          <w:p>
            <w:pPr>
              <w:pStyle w:val="ConsPlusNormal"/>
              <w:widowControl w:val="false"/>
              <w:jc w:val="center"/>
              <w:rPr>
                <w:sz w:val="16"/>
                <w:szCs w:val="16"/>
              </w:rPr>
            </w:pPr>
            <w:r>
              <w:rPr>
                <w:rFonts w:ascii="Times New Roman" w:hAnsi="Times New Roman"/>
                <w:sz w:val="16"/>
                <w:szCs w:val="16"/>
              </w:rPr>
              <w:t>(по справочникам)</w:t>
            </w:r>
          </w:p>
        </w:tc>
        <w:tc>
          <w:tcPr>
            <w:tcW w:w="198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Показатель объема муниципальной услуги</w:t>
            </w:r>
          </w:p>
        </w:tc>
        <w:tc>
          <w:tcPr>
            <w:tcW w:w="2126"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Значение показателя объема муниципальной услуги</w:t>
            </w:r>
          </w:p>
        </w:tc>
        <w:tc>
          <w:tcPr>
            <w:tcW w:w="20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rFonts w:ascii="Times New Roman" w:hAnsi="Times New Roman"/>
                <w:sz w:val="16"/>
                <w:szCs w:val="16"/>
              </w:rPr>
              <w:t>Среднегодовой размер платы (цена, тариф)</w:t>
            </w:r>
          </w:p>
        </w:tc>
      </w:tr>
      <w:tr>
        <w:trPr/>
        <w:tc>
          <w:tcPr>
            <w:tcW w:w="67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(наименование показателя)</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(наименование показателя)</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10"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(наименование показателя)</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(наименование показателя)</w:t>
            </w:r>
          </w:p>
          <w:p>
            <w:pPr>
              <w:pStyle w:val="ConsPlusNormal"/>
              <w:widowControl w:val="false"/>
              <w:jc w:val="center"/>
              <w:rPr>
                <w:sz w:val="16"/>
                <w:szCs w:val="16"/>
              </w:rPr>
            </w:pPr>
            <w:r>
              <w:rPr>
                <w:sz w:val="16"/>
                <w:szCs w:val="16"/>
              </w:rPr>
            </w:r>
          </w:p>
        </w:tc>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(наименование показателя)</w:t>
            </w:r>
          </w:p>
          <w:p>
            <w:pPr>
              <w:pStyle w:val="ConsPlusNormal"/>
              <w:widowControl w:val="false"/>
              <w:jc w:val="center"/>
              <w:rPr>
                <w:sz w:val="16"/>
                <w:szCs w:val="16"/>
              </w:rPr>
            </w:pPr>
            <w:r>
              <w:rPr>
                <w:sz w:val="16"/>
                <w:szCs w:val="16"/>
              </w:rPr>
            </w:r>
          </w:p>
        </w:tc>
        <w:tc>
          <w:tcPr>
            <w:tcW w:w="708"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Наименование показателя</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1276" w:type="dxa"/>
            <w:gridSpan w:val="2"/>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единица измерения по </w:t>
            </w:r>
            <w:hyperlink r:id="rId19">
              <w:r>
                <w:rPr>
                  <w:rFonts w:cs="Times New Roman" w:ascii="Times New Roman" w:hAnsi="Times New Roman"/>
                  <w:sz w:val="16"/>
                  <w:szCs w:val="16"/>
                </w:rPr>
                <w:t xml:space="preserve">ОКЕИ </w:t>
              </w:r>
            </w:hyperlink>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20__ год (очередной финансовый год)</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20__ год (1-й год планового периода)</w:t>
            </w:r>
          </w:p>
        </w:tc>
        <w:tc>
          <w:tcPr>
            <w:tcW w:w="70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20__ год (2-й год планового периода)</w:t>
            </w:r>
          </w:p>
        </w:tc>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20__ год (очередной финансовый год)</w:t>
            </w:r>
          </w:p>
        </w:tc>
        <w:tc>
          <w:tcPr>
            <w:tcW w:w="70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20__ год </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(1-й год планового периода)</w:t>
            </w:r>
          </w:p>
        </w:tc>
        <w:tc>
          <w:tcPr>
            <w:tcW w:w="64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20__ год </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(2-й год планового периода)</w:t>
            </w:r>
          </w:p>
        </w:tc>
      </w:tr>
      <w:tr>
        <w:trPr/>
        <w:tc>
          <w:tcPr>
            <w:tcW w:w="67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16"/>
                <w:szCs w:val="16"/>
              </w:rPr>
            </w:pPr>
            <w:r>
              <w:rPr>
                <w:sz w:val="16"/>
                <w:szCs w:val="16"/>
              </w:rPr>
            </w:r>
          </w:p>
        </w:tc>
        <w:tc>
          <w:tcPr>
            <w:tcW w:w="70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16"/>
                <w:szCs w:val="16"/>
              </w:rPr>
            </w:pPr>
            <w:r>
              <w:rPr>
                <w:sz w:val="16"/>
                <w:szCs w:val="16"/>
              </w:rPr>
            </w:r>
          </w:p>
        </w:tc>
        <w:tc>
          <w:tcPr>
            <w:tcW w:w="709" w:type="dxa"/>
            <w:tcBorders>
              <w:left w:val="single" w:sz="4" w:space="0" w:color="000000"/>
              <w:bottom w:val="single" w:sz="4" w:space="0" w:color="000000"/>
              <w:right w:val="single" w:sz="4" w:space="0" w:color="000000"/>
            </w:tcBorders>
          </w:tcPr>
          <w:p>
            <w:pPr>
              <w:pStyle w:val="ConsPlusNormal"/>
              <w:widowControl w:val="false"/>
              <w:jc w:val="both"/>
              <w:rPr>
                <w:sz w:val="16"/>
                <w:szCs w:val="16"/>
              </w:rPr>
            </w:pPr>
            <w:r>
              <w:rPr>
                <w:sz w:val="16"/>
                <w:szCs w:val="16"/>
              </w:rPr>
            </w:r>
          </w:p>
        </w:tc>
        <w:tc>
          <w:tcPr>
            <w:tcW w:w="710" w:type="dxa"/>
            <w:tcBorders>
              <w:left w:val="single" w:sz="4" w:space="0" w:color="000000"/>
              <w:bottom w:val="single" w:sz="4" w:space="0" w:color="000000"/>
              <w:right w:val="single" w:sz="4" w:space="0" w:color="000000"/>
            </w:tcBorders>
          </w:tcPr>
          <w:p>
            <w:pPr>
              <w:pStyle w:val="ConsPlusNormal"/>
              <w:widowControl w:val="false"/>
              <w:jc w:val="both"/>
              <w:rPr>
                <w:sz w:val="16"/>
                <w:szCs w:val="16"/>
              </w:rPr>
            </w:pPr>
            <w:r>
              <w:rPr>
                <w:sz w:val="16"/>
                <w:szCs w:val="16"/>
              </w:rPr>
            </w:r>
          </w:p>
        </w:tc>
        <w:tc>
          <w:tcPr>
            <w:tcW w:w="70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16"/>
                <w:szCs w:val="16"/>
              </w:rPr>
            </w:pPr>
            <w:r>
              <w:rPr>
                <w:sz w:val="16"/>
                <w:szCs w:val="16"/>
              </w:rPr>
            </w:r>
          </w:p>
        </w:tc>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16"/>
                <w:szCs w:val="16"/>
              </w:rPr>
            </w:pPr>
            <w:r>
              <w:rPr>
                <w:sz w:val="16"/>
                <w:szCs w:val="16"/>
              </w:rPr>
            </w:r>
          </w:p>
        </w:tc>
        <w:tc>
          <w:tcPr>
            <w:tcW w:w="708"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наименование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код</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 ОКЕИ</w:t>
            </w:r>
            <w:r>
              <w:rPr>
                <w:rFonts w:cs="Times New Roman" w:ascii="Times New Roman" w:hAnsi="Times New Roman"/>
                <w:sz w:val="20"/>
                <w:szCs w:val="20"/>
                <w:vertAlign w:val="superscript"/>
              </w:rPr>
              <w:t>7)</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16"/>
                <w:szCs w:val="16"/>
              </w:rPr>
            </w:pPr>
            <w:r>
              <w:rPr>
                <w:sz w:val="16"/>
                <w:szCs w:val="16"/>
              </w:rPr>
            </w:r>
          </w:p>
        </w:tc>
        <w:tc>
          <w:tcPr>
            <w:tcW w:w="70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16"/>
                <w:szCs w:val="16"/>
              </w:rPr>
            </w:pPr>
            <w:r>
              <w:rPr>
                <w:sz w:val="16"/>
                <w:szCs w:val="16"/>
              </w:rPr>
            </w:r>
          </w:p>
        </w:tc>
        <w:tc>
          <w:tcPr>
            <w:tcW w:w="70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16"/>
                <w:szCs w:val="16"/>
              </w:rPr>
            </w:pPr>
            <w:r>
              <w:rPr>
                <w:sz w:val="16"/>
                <w:szCs w:val="16"/>
              </w:rPr>
            </w:r>
          </w:p>
        </w:tc>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16"/>
                <w:szCs w:val="16"/>
              </w:rPr>
            </w:pPr>
            <w:r>
              <w:rPr>
                <w:sz w:val="16"/>
                <w:szCs w:val="16"/>
              </w:rPr>
            </w:r>
          </w:p>
        </w:tc>
        <w:tc>
          <w:tcPr>
            <w:tcW w:w="70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16"/>
                <w:szCs w:val="16"/>
              </w:rPr>
            </w:pPr>
            <w:r>
              <w:rPr>
                <w:sz w:val="16"/>
                <w:szCs w:val="16"/>
              </w:rPr>
            </w:r>
          </w:p>
        </w:tc>
        <w:tc>
          <w:tcPr>
            <w:tcW w:w="64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16"/>
                <w:szCs w:val="16"/>
              </w:rPr>
            </w:pPr>
            <w:r>
              <w:rPr>
                <w:sz w:val="16"/>
                <w:szCs w:val="16"/>
              </w:rPr>
            </w:r>
          </w:p>
        </w:tc>
      </w:tr>
      <w:tr>
        <w:trPr/>
        <w:tc>
          <w:tcPr>
            <w:tcW w:w="6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1</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2</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3</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4</w:t>
            </w:r>
          </w:p>
        </w:tc>
        <w:tc>
          <w:tcPr>
            <w:tcW w:w="7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5</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6</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7</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8</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9</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10</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11</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12</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13</w:t>
            </w:r>
          </w:p>
        </w:tc>
        <w:tc>
          <w:tcPr>
            <w:tcW w:w="7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14</w:t>
            </w:r>
          </w:p>
        </w:tc>
        <w:tc>
          <w:tcPr>
            <w:tcW w:w="6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15</w:t>
            </w:r>
          </w:p>
        </w:tc>
      </w:tr>
      <w:tr>
        <w:trPr/>
        <w:tc>
          <w:tcPr>
            <w:tcW w:w="6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6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r>
      <w:tr>
        <w:trPr/>
        <w:tc>
          <w:tcPr>
            <w:tcW w:w="6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7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6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r>
    </w:tbl>
    <w:p>
      <w:pPr>
        <w:pStyle w:val="ConsPlusNormal"/>
        <w:jc w:val="both"/>
        <w:rPr>
          <w:rFonts w:ascii="Times New Roman" w:hAnsi="Times New Roman" w:cs="Times New Roman"/>
          <w:sz w:val="28"/>
          <w:szCs w:val="28"/>
        </w:rPr>
      </w:pPr>
      <w:r>
        <w:rPr/>
      </w:r>
    </w:p>
    <w:p>
      <w:pPr>
        <w:pStyle w:val="ConsPlusNonformat"/>
        <w:jc w:val="both"/>
        <w:rPr>
          <w:rFonts w:ascii="Times New Roman" w:hAnsi="Times New Roman" w:cs="Times New Roman"/>
        </w:rPr>
      </w:pPr>
      <w:r>
        <mc:AlternateContent>
          <mc:Choice Requires="wps">
            <w:drawing>
              <wp:anchor behindDoc="0" distT="0" distB="0" distL="114300" distR="114300" simplePos="0" locked="0" layoutInCell="0" allowOverlap="1" relativeHeight="17">
                <wp:simplePos x="0" y="0"/>
                <wp:positionH relativeFrom="column">
                  <wp:posOffset>3689985</wp:posOffset>
                </wp:positionH>
                <wp:positionV relativeFrom="paragraph">
                  <wp:posOffset>59055</wp:posOffset>
                </wp:positionV>
                <wp:extent cx="1696085" cy="438785"/>
                <wp:effectExtent l="0" t="0" r="0" b="0"/>
                <wp:wrapNone/>
                <wp:docPr id="12" name=""/>
                <a:graphic xmlns:a="http://schemas.openxmlformats.org/drawingml/2006/main">
                  <a:graphicData uri="http://schemas.microsoft.com/office/word/2010/wordprocessingShape">
                    <wps:wsp>
                      <wps:cNvSpPr/>
                      <wps:nvSpPr>
                        <wps:cNvPr id="4" name="Rectangle 1"/>
                        <wps:cNvSpPr/>
                      </wps:nvSpPr>
                      <wps:spPr>
                        <a:xfrm>
                          <a:off x="0" y="0"/>
                          <a:ext cx="1695600" cy="438120"/>
                        </a:xfrm>
                        <a:prstGeom prst="rect">
                          <a:avLst/>
                        </a:prstGeom>
                        <a:solidFill>
                          <a:srgbClr val="ffffff"/>
                        </a:solidFill>
                        <a:ln w="0">
                          <a:solidFill>
                            <a:srgbClr val="000000"/>
                          </a:solidFill>
                        </a:ln>
                      </wps:spPr>
                      <wps:bodyPr/>
                    </wps:wsp>
                  </a:graphicData>
                </a:graphic>
              </wp:anchor>
            </w:drawing>
          </mc:Choice>
          <mc:Fallback>
            <w:pict>
              <v:rect id="shape_0" fillcolor="white" stroked="t" style="position:absolute;margin-left:290.55pt;margin-top:4.65pt;width:133.45pt;height:34.45pt;mso-wrap-style:none;v-text-anchor:middle">
                <v:fill o:detectmouseclick="t" type="solid" color2="black"/>
                <v:stroke color="black" joinstyle="round" endcap="flat"/>
                <w10:wrap type="none"/>
              </v:rect>
            </w:pict>
          </mc:Fallback>
        </mc:AlternateContent>
      </w:r>
      <w:r>
        <w:rPr>
          <w:rFonts w:cs="Times New Roman" w:ascii="Times New Roman" w:hAnsi="Times New Roman"/>
        </w:rPr>
        <w:t>Д</w:t>
      </w:r>
      <w:r>
        <w:rPr>
          <w:rFonts w:cs="Times New Roman" w:ascii="Times New Roman" w:hAnsi="Times New Roman"/>
        </w:rPr>
        <w:t xml:space="preserve">опустимые (возможные) отклонения от установленных  </w:t>
      </w:r>
    </w:p>
    <w:p>
      <w:pPr>
        <w:pStyle w:val="ConsPlusNonformat"/>
        <w:jc w:val="both"/>
        <w:rPr>
          <w:rFonts w:ascii="Times New Roman" w:hAnsi="Times New Roman" w:cs="Times New Roman"/>
        </w:rPr>
      </w:pPr>
      <w:r>
        <w:rPr>
          <w:rFonts w:cs="Times New Roman" w:ascii="Times New Roman" w:hAnsi="Times New Roman"/>
        </w:rPr>
        <w:t xml:space="preserve">показателей  объема муниципальной  услуги,  в    </w:t>
      </w:r>
    </w:p>
    <w:p>
      <w:pPr>
        <w:pStyle w:val="ConsPlusNonformat"/>
        <w:jc w:val="both"/>
        <w:rPr>
          <w:rFonts w:ascii="Times New Roman" w:hAnsi="Times New Roman" w:cs="Times New Roman"/>
        </w:rPr>
      </w:pPr>
      <w:r>
        <w:rPr>
          <w:rFonts w:cs="Times New Roman" w:ascii="Times New Roman" w:hAnsi="Times New Roman"/>
        </w:rPr>
        <w:t xml:space="preserve">пределах которых муниципальное задание считается    </w:t>
      </w:r>
    </w:p>
    <w:p>
      <w:pPr>
        <w:pStyle w:val="ConsPlusNonformat"/>
        <w:jc w:val="both"/>
        <w:rPr>
          <w:rFonts w:ascii="Times New Roman" w:hAnsi="Times New Roman" w:cs="Times New Roman"/>
        </w:rPr>
      </w:pPr>
      <w:r>
        <w:rPr>
          <w:rFonts w:cs="Times New Roman" w:ascii="Times New Roman" w:hAnsi="Times New Roman"/>
        </w:rPr>
        <w:t xml:space="preserve">выполненным (в %)                                   </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4.  Нормативные  правовые  акты, устанавливающие размер платы (цену, тариф) либо порядок ее (его) установления</w:t>
      </w:r>
    </w:p>
    <w:p>
      <w:pPr>
        <w:pStyle w:val="ConsPlusNormal"/>
        <w:jc w:val="both"/>
        <w:rPr>
          <w:szCs w:val="22"/>
        </w:rPr>
      </w:pPr>
      <w:r>
        <w:rPr>
          <w:szCs w:val="22"/>
        </w:rPr>
      </w:r>
    </w:p>
    <w:tbl>
      <w:tblPr>
        <w:tblW w:w="10024" w:type="dxa"/>
        <w:jc w:val="left"/>
        <w:tblInd w:w="0" w:type="dxa"/>
        <w:tblLayout w:type="fixed"/>
        <w:tblCellMar>
          <w:top w:w="0" w:type="dxa"/>
          <w:left w:w="108" w:type="dxa"/>
          <w:bottom w:w="0" w:type="dxa"/>
          <w:right w:w="108" w:type="dxa"/>
        </w:tblCellMar>
        <w:tblLook w:val="04a0"/>
      </w:tblPr>
      <w:tblGrid>
        <w:gridCol w:w="1846"/>
        <w:gridCol w:w="2139"/>
        <w:gridCol w:w="1510"/>
        <w:gridCol w:w="1416"/>
        <w:gridCol w:w="3113"/>
      </w:tblGrid>
      <w:tr>
        <w:trPr/>
        <w:tc>
          <w:tcPr>
            <w:tcW w:w="10024"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Нормативный правовой акт</w:t>
            </w:r>
          </w:p>
        </w:tc>
      </w:tr>
      <w:tr>
        <w:trPr/>
        <w:tc>
          <w:tcPr>
            <w:tcW w:w="18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Вид</w:t>
            </w:r>
          </w:p>
          <w:p>
            <w:pPr>
              <w:pStyle w:val="ConsPlusNormal"/>
              <w:widowControl w:val="false"/>
              <w:jc w:val="center"/>
              <w:rPr>
                <w:rFonts w:ascii="Times New Roman" w:hAnsi="Times New Roman" w:cs="Times New Roman"/>
                <w:sz w:val="20"/>
              </w:rPr>
            </w:pPr>
            <w:r>
              <w:rPr>
                <w:rFonts w:cs="Times New Roman" w:ascii="Times New Roman" w:hAnsi="Times New Roman"/>
                <w:sz w:val="20"/>
              </w:rPr>
            </w:r>
          </w:p>
        </w:tc>
        <w:tc>
          <w:tcPr>
            <w:tcW w:w="21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принявший орган</w:t>
            </w:r>
          </w:p>
        </w:tc>
        <w:tc>
          <w:tcPr>
            <w:tcW w:w="1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дата</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номер</w:t>
            </w:r>
          </w:p>
        </w:tc>
        <w:tc>
          <w:tcPr>
            <w:tcW w:w="31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наименование</w:t>
            </w:r>
          </w:p>
        </w:tc>
      </w:tr>
      <w:tr>
        <w:trPr/>
        <w:tc>
          <w:tcPr>
            <w:tcW w:w="18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1</w:t>
            </w:r>
          </w:p>
        </w:tc>
        <w:tc>
          <w:tcPr>
            <w:tcW w:w="21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2</w:t>
            </w:r>
          </w:p>
        </w:tc>
        <w:tc>
          <w:tcPr>
            <w:tcW w:w="1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4</w:t>
            </w:r>
          </w:p>
        </w:tc>
        <w:tc>
          <w:tcPr>
            <w:tcW w:w="31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5</w:t>
            </w:r>
          </w:p>
        </w:tc>
      </w:tr>
      <w:tr>
        <w:trPr/>
        <w:tc>
          <w:tcPr>
            <w:tcW w:w="18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0"/>
              </w:rPr>
            </w:pPr>
            <w:r>
              <w:rPr>
                <w:sz w:val="20"/>
              </w:rPr>
            </w:r>
          </w:p>
        </w:tc>
        <w:tc>
          <w:tcPr>
            <w:tcW w:w="21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0"/>
              </w:rPr>
            </w:pPr>
            <w:r>
              <w:rPr>
                <w:sz w:val="20"/>
              </w:rPr>
            </w:r>
          </w:p>
        </w:tc>
        <w:tc>
          <w:tcPr>
            <w:tcW w:w="1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0"/>
              </w:rPr>
            </w:pPr>
            <w:r>
              <w:rPr>
                <w:sz w:val="20"/>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0"/>
              </w:rPr>
            </w:pPr>
            <w:r>
              <w:rPr>
                <w:sz w:val="20"/>
              </w:rPr>
            </w:r>
          </w:p>
        </w:tc>
        <w:tc>
          <w:tcPr>
            <w:tcW w:w="31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0"/>
              </w:rPr>
            </w:pPr>
            <w:r>
              <w:rPr>
                <w:sz w:val="20"/>
              </w:rPr>
            </w:r>
          </w:p>
        </w:tc>
      </w:tr>
      <w:tr>
        <w:trPr/>
        <w:tc>
          <w:tcPr>
            <w:tcW w:w="18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21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1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31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r>
      <w:tr>
        <w:trPr/>
        <w:tc>
          <w:tcPr>
            <w:tcW w:w="18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21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1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31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r>
      <w:tr>
        <w:trPr/>
        <w:tc>
          <w:tcPr>
            <w:tcW w:w="18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21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1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31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r>
      <w:tr>
        <w:trPr/>
        <w:tc>
          <w:tcPr>
            <w:tcW w:w="18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21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1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31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r>
      <w:tr>
        <w:trPr/>
        <w:tc>
          <w:tcPr>
            <w:tcW w:w="18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21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1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31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r>
      <w:tr>
        <w:trPr/>
        <w:tc>
          <w:tcPr>
            <w:tcW w:w="18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21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1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31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r>
    </w:tbl>
    <w:p>
      <w:pPr>
        <w:pStyle w:val="ConsPlusNormal"/>
        <w:jc w:val="both"/>
        <w:rPr>
          <w:rFonts w:ascii="Times New Roman" w:hAnsi="Times New Roman" w:cs="Times New Roman"/>
          <w:sz w:val="28"/>
          <w:szCs w:val="28"/>
        </w:rPr>
      </w:pPr>
      <w:r>
        <w:rPr/>
      </w:r>
    </w:p>
    <w:tbl>
      <w:tblPr>
        <w:tblW w:w="9923" w:type="dxa"/>
        <w:jc w:val="left"/>
        <w:tblInd w:w="62" w:type="dxa"/>
        <w:tblLayout w:type="fixed"/>
        <w:tblCellMar>
          <w:top w:w="102" w:type="dxa"/>
          <w:left w:w="62" w:type="dxa"/>
          <w:bottom w:w="102" w:type="dxa"/>
          <w:right w:w="62" w:type="dxa"/>
        </w:tblCellMar>
        <w:tblLook w:val="0000"/>
      </w:tblPr>
      <w:tblGrid>
        <w:gridCol w:w="3797"/>
        <w:gridCol w:w="3119"/>
        <w:gridCol w:w="3007"/>
      </w:tblGrid>
      <w:tr>
        <w:trPr/>
        <w:tc>
          <w:tcPr>
            <w:tcW w:w="9923" w:type="dxa"/>
            <w:gridSpan w:val="3"/>
            <w:tcBorders/>
          </w:tcPr>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Предельные цены (тарифы) на оплату услуг либо порядок их установления</w:t>
            </w:r>
          </w:p>
        </w:tc>
      </w:tr>
      <w:tr>
        <w:trPr/>
        <w:tc>
          <w:tcPr>
            <w:tcW w:w="9923" w:type="dxa"/>
            <w:gridSpan w:val="3"/>
            <w:tcBorders>
              <w:bottom w:val="single" w:sz="4" w:space="0" w:color="000000"/>
            </w:tcBorders>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69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Показатель предельной цены</w:t>
            </w:r>
          </w:p>
        </w:tc>
        <w:tc>
          <w:tcPr>
            <w:tcW w:w="300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Предельная цена (тариф)</w:t>
            </w:r>
          </w:p>
        </w:tc>
      </w:tr>
      <w:tr>
        <w:trPr/>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Наименование</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Единица измерения</w:t>
            </w:r>
          </w:p>
        </w:tc>
        <w:tc>
          <w:tcPr>
            <w:tcW w:w="30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r>
      <w:tr>
        <w:trPr/>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30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w:t>
            </w:r>
          </w:p>
        </w:tc>
      </w:tr>
      <w:tr>
        <w:trPr/>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30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bl>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5. Порядок оказания муниципальной услуги</w:t>
      </w:r>
    </w:p>
    <w:p>
      <w:pPr>
        <w:pStyle w:val="ConsPlusNonformat"/>
        <w:jc w:val="both"/>
        <w:rPr>
          <w:rFonts w:ascii="Times New Roman" w:hAnsi="Times New Roman" w:cs="Times New Roman"/>
          <w:sz w:val="28"/>
          <w:szCs w:val="28"/>
        </w:rPr>
      </w:pPr>
      <w:r>
        <w:rPr/>
      </w:r>
    </w:p>
    <w:p>
      <w:pPr>
        <w:pStyle w:val="ConsPlusNonformat"/>
        <w:jc w:val="both"/>
        <w:rPr>
          <w:rFonts w:ascii="Times New Roman" w:hAnsi="Times New Roman" w:cs="Times New Roman"/>
        </w:rPr>
      </w:pPr>
      <w:r>
        <w:rPr>
          <w:rFonts w:cs="Times New Roman" w:ascii="Times New Roman" w:hAnsi="Times New Roman"/>
        </w:rPr>
        <w:t>5.1. Нормативные правовые акты, регулирующие порядок оказания муниципальной услуги</w:t>
      </w:r>
    </w:p>
    <w:p>
      <w:pPr>
        <w:pStyle w:val="ConsPlusNonformat"/>
        <w:jc w:val="both"/>
        <w:rPr>
          <w:rFonts w:ascii="Times New Roman" w:hAnsi="Times New Roman" w:cs="Times New Roman"/>
          <w:sz w:val="28"/>
          <w:szCs w:val="28"/>
        </w:rPr>
      </w:pPr>
      <w:r>
        <w:rPr/>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(наименование, номер и дата нормативного правового акта)</w:t>
      </w:r>
    </w:p>
    <w:p>
      <w:pPr>
        <w:pStyle w:val="ConsPlusNonformat"/>
        <w:jc w:val="center"/>
        <w:rPr>
          <w:rFonts w:ascii="Times New Roman" w:hAnsi="Times New Roman" w:cs="Times New Roman"/>
          <w:sz w:val="28"/>
          <w:szCs w:val="28"/>
        </w:rPr>
      </w:pPr>
      <w:r>
        <w:rPr/>
      </w:r>
    </w:p>
    <w:p>
      <w:pPr>
        <w:pStyle w:val="ConsPlusNonformat"/>
        <w:jc w:val="both"/>
        <w:rPr>
          <w:rFonts w:ascii="Times New Roman" w:hAnsi="Times New Roman" w:cs="Times New Roman"/>
        </w:rPr>
      </w:pPr>
      <w:r>
        <w:rPr>
          <w:rFonts w:cs="Times New Roman" w:ascii="Times New Roman" w:hAnsi="Times New Roman"/>
        </w:rPr>
        <w:t>5.2. Порядок информирования потенциальных потребителей муниципальной услуги</w:t>
      </w:r>
    </w:p>
    <w:p>
      <w:pPr>
        <w:pStyle w:val="ConsPlusNormal"/>
        <w:jc w:val="both"/>
        <w:rPr>
          <w:rFonts w:ascii="Times New Roman" w:hAnsi="Times New Roman" w:cs="Times New Roman"/>
          <w:sz w:val="28"/>
          <w:szCs w:val="28"/>
        </w:rPr>
      </w:pPr>
      <w:r>
        <w:rPr/>
      </w:r>
    </w:p>
    <w:tbl>
      <w:tblPr>
        <w:tblW w:w="10024" w:type="dxa"/>
        <w:jc w:val="left"/>
        <w:tblInd w:w="0" w:type="dxa"/>
        <w:tblLayout w:type="fixed"/>
        <w:tblCellMar>
          <w:top w:w="0" w:type="dxa"/>
          <w:left w:w="108" w:type="dxa"/>
          <w:bottom w:w="0" w:type="dxa"/>
          <w:right w:w="108" w:type="dxa"/>
        </w:tblCellMar>
        <w:tblLook w:val="04a0"/>
      </w:tblPr>
      <w:tblGrid>
        <w:gridCol w:w="3448"/>
        <w:gridCol w:w="3304"/>
        <w:gridCol w:w="3272"/>
      </w:tblGrid>
      <w:tr>
        <w:trPr/>
        <w:tc>
          <w:tcPr>
            <w:tcW w:w="34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Способ информирования</w:t>
            </w:r>
          </w:p>
        </w:tc>
        <w:tc>
          <w:tcPr>
            <w:tcW w:w="3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Состав размещаемой информации</w:t>
            </w:r>
          </w:p>
        </w:tc>
        <w:tc>
          <w:tcPr>
            <w:tcW w:w="32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Частота обновления информации</w:t>
            </w:r>
          </w:p>
        </w:tc>
      </w:tr>
      <w:tr>
        <w:trPr/>
        <w:tc>
          <w:tcPr>
            <w:tcW w:w="34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1</w:t>
            </w:r>
          </w:p>
        </w:tc>
        <w:tc>
          <w:tcPr>
            <w:tcW w:w="3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2</w:t>
            </w:r>
          </w:p>
        </w:tc>
        <w:tc>
          <w:tcPr>
            <w:tcW w:w="32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0"/>
              </w:rPr>
            </w:pPr>
            <w:r>
              <w:rPr>
                <w:rFonts w:cs="Times New Roman" w:ascii="Times New Roman" w:hAnsi="Times New Roman"/>
                <w:sz w:val="20"/>
              </w:rPr>
              <w:t>3</w:t>
            </w:r>
          </w:p>
        </w:tc>
      </w:tr>
      <w:tr>
        <w:trPr/>
        <w:tc>
          <w:tcPr>
            <w:tcW w:w="34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3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32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r>
      <w:tr>
        <w:trPr/>
        <w:tc>
          <w:tcPr>
            <w:tcW w:w="34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3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32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r>
      <w:tr>
        <w:trPr/>
        <w:tc>
          <w:tcPr>
            <w:tcW w:w="34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3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c>
          <w:tcPr>
            <w:tcW w:w="32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0"/>
              </w:rPr>
            </w:pPr>
            <w:r>
              <w:rPr>
                <w:sz w:val="20"/>
              </w:rPr>
            </w:r>
          </w:p>
        </w:tc>
      </w:tr>
    </w:tbl>
    <w:p>
      <w:pPr>
        <w:sectPr>
          <w:footerReference w:type="default" r:id="rId20"/>
          <w:type w:val="nextPage"/>
          <w:pgSz w:w="11906" w:h="16838"/>
          <w:pgMar w:left="1361" w:right="737" w:header="0" w:top="1134" w:footer="0" w:bottom="1276" w:gutter="0"/>
          <w:pgNumType w:fmt="decimal"/>
          <w:formProt w:val="false"/>
          <w:textDirection w:val="lrTb"/>
          <w:docGrid w:type="default" w:linePitch="360" w:charSpace="4096"/>
        </w:sectPr>
      </w:pPr>
    </w:p>
    <w:p>
      <w:pPr>
        <w:pStyle w:val="ConsPlusNonformat"/>
        <w:jc w:val="center"/>
        <w:rPr>
          <w:rFonts w:ascii="Times New Roman" w:hAnsi="Times New Roman" w:cs="Times New Roman"/>
        </w:rPr>
      </w:pPr>
      <w:r>
        <w:rPr>
          <w:rFonts w:cs="Times New Roman" w:ascii="Times New Roman" w:hAnsi="Times New Roman"/>
        </w:rPr>
        <w:t xml:space="preserve">ЧАСТЬ 2. Сведения о выполняемых работах </w:t>
      </w:r>
      <w:r>
        <w:rPr>
          <w:rFonts w:cs="Times New Roman" w:ascii="Times New Roman" w:hAnsi="Times New Roman"/>
          <w:vertAlign w:val="superscript"/>
        </w:rPr>
        <w:t>8)</w:t>
      </w:r>
    </w:p>
    <w:p>
      <w:pPr>
        <w:pStyle w:val="ConsPlusNonformat"/>
        <w:jc w:val="center"/>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sz w:val="18"/>
          <w:szCs w:val="18"/>
        </w:rPr>
      </w:pPr>
      <w:r>
        <w:rPr>
          <w:rFonts w:cs="Times New Roman" w:ascii="Times New Roman" w:hAnsi="Times New Roman"/>
          <w:sz w:val="18"/>
          <w:szCs w:val="18"/>
        </w:rPr>
        <w:t>РАЗДЕЛ ____</w:t>
      </w:r>
    </w:p>
    <w:p>
      <w:pPr>
        <w:pStyle w:val="ConsPlusNonformat"/>
        <w:jc w:val="both"/>
        <w:rPr>
          <w:sz w:val="20"/>
          <w:szCs w:val="20"/>
        </w:rPr>
      </w:pPr>
      <w:r>
        <mc:AlternateContent>
          <mc:Choice Requires="wps">
            <w:drawing>
              <wp:anchor behindDoc="0" distT="0" distB="0" distL="114300" distR="114300" simplePos="0" locked="0" layoutInCell="0" allowOverlap="1" relativeHeight="9">
                <wp:simplePos x="0" y="0"/>
                <wp:positionH relativeFrom="column">
                  <wp:posOffset>5343525</wp:posOffset>
                </wp:positionH>
                <wp:positionV relativeFrom="paragraph">
                  <wp:posOffset>49530</wp:posOffset>
                </wp:positionV>
                <wp:extent cx="925830" cy="429260"/>
                <wp:effectExtent l="0" t="0" r="0" b="0"/>
                <wp:wrapNone/>
                <wp:docPr id="13" name=""/>
                <a:graphic xmlns:a="http://schemas.openxmlformats.org/drawingml/2006/main">
                  <a:graphicData uri="http://schemas.microsoft.com/office/word/2010/wordprocessingShape">
                    <wps:wsp>
                      <wps:cNvSpPr/>
                      <wps:nvSpPr>
                        <wps:cNvPr id="5" name="Rectangle 1"/>
                        <wps:cNvSpPr/>
                      </wps:nvSpPr>
                      <wps:spPr>
                        <a:xfrm>
                          <a:off x="0" y="0"/>
                          <a:ext cx="925200" cy="428760"/>
                        </a:xfrm>
                        <a:prstGeom prst="rect">
                          <a:avLst/>
                        </a:prstGeom>
                        <a:solidFill>
                          <a:srgbClr val="ffffff"/>
                        </a:solidFill>
                        <a:ln w="0">
                          <a:solidFill>
                            <a:srgbClr val="000000"/>
                          </a:solidFill>
                        </a:ln>
                      </wps:spPr>
                      <wps:bodyPr/>
                    </wps:wsp>
                  </a:graphicData>
                </a:graphic>
              </wp:anchor>
            </w:drawing>
          </mc:Choice>
          <mc:Fallback>
            <w:pict>
              <v:rect id="shape_0" fillcolor="white" stroked="t" style="position:absolute;margin-left:420.75pt;margin-top:3.9pt;width:72.8pt;height:33.7pt;mso-wrap-style:none;v-text-anchor:middle">
                <v:fill o:detectmouseclick="t" type="solid" color2="black"/>
                <v:stroke color="black" joinstyle="round" endcap="flat"/>
                <w10:wrap type="none"/>
              </v:rect>
            </w:pict>
          </mc:Fallback>
        </mc:AlternateContent>
      </w:r>
      <w:r>
        <w:rPr/>
        <w:t xml:space="preserve"> </w:t>
      </w:r>
      <w:r>
        <w:rPr/>
        <w:t xml:space="preserve">                                                               </w:t>
      </w:r>
    </w:p>
    <w:p>
      <w:pPr>
        <w:pStyle w:val="ConsPlusNonformat"/>
        <w:jc w:val="both"/>
        <w:rPr>
          <w:rFonts w:ascii="Times New Roman" w:hAnsi="Times New Roman" w:cs="Times New Roman"/>
        </w:rPr>
      </w:pPr>
      <w:r>
        <w:rPr/>
        <w:t xml:space="preserve">                                               </w:t>
      </w:r>
      <w:r>
        <w:rPr/>
        <w:tab/>
        <w:t xml:space="preserve">                  </w:t>
      </w:r>
      <w:r>
        <w:rPr>
          <w:rFonts w:cs="Times New Roman" w:ascii="Times New Roman" w:hAnsi="Times New Roman"/>
        </w:rPr>
        <w:t xml:space="preserve">Код по </w:t>
      </w:r>
    </w:p>
    <w:p>
      <w:pPr>
        <w:pStyle w:val="ConsPlusNonformat"/>
        <w:jc w:val="both"/>
        <w:rPr>
          <w:rFonts w:ascii="Times New Roman" w:hAnsi="Times New Roman" w:cs="Times New Roman"/>
        </w:rPr>
      </w:pPr>
      <w:r>
        <w:rPr>
          <w:rFonts w:cs="Times New Roman" w:ascii="Times New Roman" w:hAnsi="Times New Roman"/>
        </w:rPr>
        <w:t xml:space="preserve">1. Наименование работы ____________________          </w:t>
        <w:tab/>
      </w:r>
      <w:r>
        <w:rPr>
          <w:rFonts w:cs="Times New Roman" w:ascii="Times New Roman" w:hAnsi="Times New Roman"/>
          <w:strike/>
        </w:rPr>
        <w:tab/>
        <w:t xml:space="preserve">            </w:t>
      </w:r>
      <w:r>
        <w:rPr>
          <w:rFonts w:cs="Times New Roman" w:ascii="Times New Roman" w:hAnsi="Times New Roman"/>
        </w:rPr>
        <w:t>региональному перечню</w:t>
      </w:r>
    </w:p>
    <w:p>
      <w:pPr>
        <w:pStyle w:val="ConsPlusNonformat"/>
        <w:ind w:left="4956" w:firstLine="708"/>
        <w:jc w:val="both"/>
        <w:rPr>
          <w:sz w:val="20"/>
          <w:szCs w:val="20"/>
        </w:rPr>
      </w:pPr>
      <w:r>
        <w:rPr>
          <w:rFonts w:cs="Times New Roman" w:ascii="Times New Roman" w:hAnsi="Times New Roman"/>
        </w:rPr>
        <w:t xml:space="preserve">          </w:t>
      </w:r>
    </w:p>
    <w:p>
      <w:pPr>
        <w:pStyle w:val="ConsPlusNonformat"/>
        <w:jc w:val="both"/>
        <w:rPr>
          <w:sz w:val="20"/>
          <w:szCs w:val="20"/>
        </w:rPr>
      </w:pPr>
      <w:r>
        <w:rPr/>
        <w:t xml:space="preserve">_________________________________________________________________________________ </w:t>
      </w:r>
    </w:p>
    <w:p>
      <w:pPr>
        <w:pStyle w:val="ConsPlusNonformat"/>
        <w:jc w:val="both"/>
        <w:rPr>
          <w:sz w:val="20"/>
          <w:szCs w:val="20"/>
        </w:rPr>
      </w:pPr>
      <w:r>
        <w:rPr/>
      </w:r>
    </w:p>
    <w:p>
      <w:pPr>
        <w:pStyle w:val="ConsPlusNonformat"/>
        <w:jc w:val="both"/>
        <w:rPr>
          <w:sz w:val="20"/>
          <w:szCs w:val="20"/>
        </w:rPr>
      </w:pPr>
      <w:r>
        <w:rPr>
          <w:rFonts w:cs="Times New Roman" w:ascii="Times New Roman" w:hAnsi="Times New Roman"/>
        </w:rPr>
        <w:t>2. Категории потребителей работы</w:t>
      </w:r>
      <w:r>
        <w:rPr/>
        <w:t xml:space="preserve"> ________________________________________________________</w:t>
      </w:r>
    </w:p>
    <w:p>
      <w:pPr>
        <w:pStyle w:val="ConsPlusNonformat"/>
        <w:jc w:val="both"/>
        <w:rPr>
          <w:sz w:val="20"/>
          <w:szCs w:val="20"/>
        </w:rPr>
      </w:pPr>
      <w:r>
        <w:rPr/>
        <w:t>_________________________________________________________________________________</w:t>
      </w:r>
    </w:p>
    <w:p>
      <w:pPr>
        <w:pStyle w:val="ConsPlusNonformat"/>
        <w:jc w:val="both"/>
        <w:rPr>
          <w:sz w:val="20"/>
          <w:szCs w:val="20"/>
        </w:rPr>
      </w:pPr>
      <w:r>
        <w:rPr/>
        <w:t>_________________________________________________________________________________</w:t>
      </w:r>
    </w:p>
    <w:p>
      <w:pPr>
        <w:pStyle w:val="ConsPlusNonformat"/>
        <w:jc w:val="both"/>
        <w:rPr>
          <w:sz w:val="20"/>
          <w:szCs w:val="20"/>
        </w:rPr>
      </w:pPr>
      <w:r>
        <w:rPr/>
      </w:r>
    </w:p>
    <w:p>
      <w:pPr>
        <w:pStyle w:val="ConsPlusNonformat"/>
        <w:jc w:val="both"/>
        <w:rPr>
          <w:rFonts w:ascii="Times New Roman" w:hAnsi="Times New Roman" w:cs="Times New Roman"/>
        </w:rPr>
      </w:pPr>
      <w:r>
        <w:rPr>
          <w:rFonts w:cs="Times New Roman" w:ascii="Times New Roman" w:hAnsi="Times New Roman"/>
        </w:rPr>
        <w:t>3. Показатели, характеризующие объем и (или) качество работы</w:t>
      </w:r>
    </w:p>
    <w:p>
      <w:pPr>
        <w:pStyle w:val="ConsPlusNonformat"/>
        <w:jc w:val="both"/>
        <w:rPr>
          <w:sz w:val="20"/>
          <w:szCs w:val="20"/>
        </w:rPr>
      </w:pPr>
      <w:r>
        <w:rPr/>
      </w:r>
      <w:bookmarkStart w:id="2" w:name="P528"/>
      <w:bookmarkStart w:id="3" w:name="P528"/>
      <w:bookmarkEnd w:id="3"/>
    </w:p>
    <w:p>
      <w:pPr>
        <w:pStyle w:val="ConsPlusNonformat"/>
        <w:jc w:val="both"/>
        <w:rPr>
          <w:rFonts w:ascii="Times New Roman" w:hAnsi="Times New Roman" w:cs="Times New Roman"/>
          <w:vertAlign w:val="superscript"/>
        </w:rPr>
      </w:pPr>
      <w:r>
        <w:rPr>
          <w:rFonts w:cs="Times New Roman" w:ascii="Times New Roman" w:hAnsi="Times New Roman"/>
        </w:rPr>
        <w:t xml:space="preserve">3.1. Показатели, характеризующие качество работы </w:t>
      </w:r>
      <w:r>
        <w:rPr>
          <w:rFonts w:cs="Times New Roman" w:ascii="Times New Roman" w:hAnsi="Times New Roman"/>
          <w:vertAlign w:val="superscript"/>
        </w:rPr>
        <w:t>9)</w:t>
      </w:r>
    </w:p>
    <w:p>
      <w:pPr>
        <w:pStyle w:val="ConsPlusNonformat"/>
        <w:jc w:val="both"/>
        <w:rPr>
          <w:sz w:val="20"/>
          <w:szCs w:val="20"/>
        </w:rPr>
      </w:pPr>
      <w:r>
        <w:rPr/>
      </w:r>
    </w:p>
    <w:tbl>
      <w:tblPr>
        <w:tblW w:w="10355" w:type="dxa"/>
        <w:jc w:val="left"/>
        <w:tblInd w:w="93" w:type="dxa"/>
        <w:tblLayout w:type="fixed"/>
        <w:tblCellMar>
          <w:top w:w="0" w:type="dxa"/>
          <w:left w:w="108" w:type="dxa"/>
          <w:bottom w:w="0" w:type="dxa"/>
          <w:right w:w="108" w:type="dxa"/>
        </w:tblCellMar>
        <w:tblLook w:val="04a0"/>
      </w:tblPr>
      <w:tblGrid>
        <w:gridCol w:w="723"/>
        <w:gridCol w:w="851"/>
        <w:gridCol w:w="851"/>
        <w:gridCol w:w="851"/>
        <w:gridCol w:w="992"/>
        <w:gridCol w:w="992"/>
        <w:gridCol w:w="992"/>
        <w:gridCol w:w="566"/>
        <w:gridCol w:w="710"/>
        <w:gridCol w:w="851"/>
        <w:gridCol w:w="992"/>
        <w:gridCol w:w="983"/>
      </w:tblGrid>
      <w:tr>
        <w:trPr>
          <w:trHeight w:val="688" w:hRule="atLeast"/>
        </w:trPr>
        <w:tc>
          <w:tcPr>
            <w:tcW w:w="72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Уникальный номер реестровой записи по региональному перечню</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(6)</w:t>
            </w:r>
          </w:p>
        </w:tc>
        <w:tc>
          <w:tcPr>
            <w:tcW w:w="2553" w:type="dxa"/>
            <w:gridSpan w:val="3"/>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Показатель, характеризующий содержание работы (по справочникам)</w:t>
            </w:r>
          </w:p>
        </w:tc>
        <w:tc>
          <w:tcPr>
            <w:tcW w:w="1984"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Показатель, характеризующий условия (формы) выполнения работы (по справочникам)</w:t>
            </w:r>
          </w:p>
        </w:tc>
        <w:tc>
          <w:tcPr>
            <w:tcW w:w="2268" w:type="dxa"/>
            <w:gridSpan w:val="3"/>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Показатель качества работы</w:t>
            </w:r>
          </w:p>
        </w:tc>
        <w:tc>
          <w:tcPr>
            <w:tcW w:w="2826" w:type="dxa"/>
            <w:gridSpan w:val="3"/>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Значение показателя качества работы</w:t>
            </w:r>
          </w:p>
        </w:tc>
      </w:tr>
      <w:tr>
        <w:trPr>
          <w:trHeight w:val="195" w:hRule="atLeast"/>
        </w:trPr>
        <w:tc>
          <w:tcPr>
            <w:tcW w:w="72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2553" w:type="dxa"/>
            <w:gridSpan w:val="3"/>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984" w:type="dxa"/>
            <w:gridSpan w:val="2"/>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9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 показателя</w:t>
            </w:r>
          </w:p>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76" w:type="dxa"/>
            <w:gridSpan w:val="2"/>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единица измерения </w:t>
            </w:r>
          </w:p>
        </w:tc>
        <w:tc>
          <w:tcPr>
            <w:tcW w:w="85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20__ год (очередной финансовый год)</w:t>
            </w:r>
          </w:p>
        </w:tc>
        <w:tc>
          <w:tcPr>
            <w:tcW w:w="99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20__ год (1-й год планового периода)</w:t>
            </w:r>
          </w:p>
        </w:tc>
        <w:tc>
          <w:tcPr>
            <w:tcW w:w="983"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20__ год </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(2-й год планового периода)</w:t>
            </w:r>
          </w:p>
        </w:tc>
      </w:tr>
      <w:tr>
        <w:trPr>
          <w:trHeight w:val="939" w:hRule="atLeast"/>
        </w:trPr>
        <w:tc>
          <w:tcPr>
            <w:tcW w:w="723" w:type="dxa"/>
            <w:vMerge w:val="continue"/>
            <w:tcBorders>
              <w:top w:val="single" w:sz="8" w:space="0" w:color="000000"/>
              <w:left w:val="single" w:sz="8" w:space="0" w:color="000000"/>
              <w:bottom w:val="single" w:sz="4"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tcBorders>
              <w:bottom w:val="single" w:sz="4"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before="0" w:after="20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показателя) </w:t>
            </w:r>
          </w:p>
        </w:tc>
        <w:tc>
          <w:tcPr>
            <w:tcW w:w="851" w:type="dxa"/>
            <w:tcBorders>
              <w:bottom w:val="single" w:sz="4"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before="0" w:after="20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показателя) </w:t>
            </w:r>
          </w:p>
        </w:tc>
        <w:tc>
          <w:tcPr>
            <w:tcW w:w="851" w:type="dxa"/>
            <w:tcBorders>
              <w:bottom w:val="single" w:sz="4"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before="0" w:after="20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показателя) </w:t>
            </w:r>
          </w:p>
        </w:tc>
        <w:tc>
          <w:tcPr>
            <w:tcW w:w="992"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Показателя)</w:t>
            </w:r>
          </w:p>
        </w:tc>
        <w:tc>
          <w:tcPr>
            <w:tcW w:w="992"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показателя)  </w:t>
            </w:r>
          </w:p>
        </w:tc>
        <w:tc>
          <w:tcPr>
            <w:tcW w:w="992" w:type="dxa"/>
            <w:vMerge w:val="continue"/>
            <w:tcBorders>
              <w:left w:val="single" w:sz="8" w:space="0" w:color="000000"/>
              <w:bottom w:val="single" w:sz="4"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566"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наименование </w:t>
            </w:r>
          </w:p>
        </w:tc>
        <w:tc>
          <w:tcPr>
            <w:tcW w:w="710"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код по ОКЕИ (7)</w:t>
            </w:r>
          </w:p>
        </w:tc>
        <w:tc>
          <w:tcPr>
            <w:tcW w:w="85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9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83"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r>
      <w:tr>
        <w:trPr>
          <w:trHeight w:val="315" w:hRule="atLeast"/>
        </w:trPr>
        <w:tc>
          <w:tcPr>
            <w:tcW w:w="723" w:type="dxa"/>
            <w:tcBorders>
              <w:top w:val="single" w:sz="4"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w:t>
            </w:r>
          </w:p>
        </w:tc>
        <w:tc>
          <w:tcPr>
            <w:tcW w:w="851"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w:t>
            </w:r>
          </w:p>
        </w:tc>
        <w:tc>
          <w:tcPr>
            <w:tcW w:w="851"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3</w:t>
            </w:r>
          </w:p>
        </w:tc>
        <w:tc>
          <w:tcPr>
            <w:tcW w:w="851"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4</w:t>
            </w:r>
          </w:p>
        </w:tc>
        <w:tc>
          <w:tcPr>
            <w:tcW w:w="992"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5</w:t>
            </w:r>
          </w:p>
        </w:tc>
        <w:tc>
          <w:tcPr>
            <w:tcW w:w="992"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6</w:t>
            </w:r>
          </w:p>
        </w:tc>
        <w:tc>
          <w:tcPr>
            <w:tcW w:w="992"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7</w:t>
            </w:r>
          </w:p>
        </w:tc>
        <w:tc>
          <w:tcPr>
            <w:tcW w:w="566"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8</w:t>
            </w:r>
          </w:p>
        </w:tc>
        <w:tc>
          <w:tcPr>
            <w:tcW w:w="710"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9</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10</w:t>
            </w:r>
          </w:p>
        </w:tc>
        <w:tc>
          <w:tcPr>
            <w:tcW w:w="992"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11</w:t>
            </w:r>
          </w:p>
        </w:tc>
        <w:tc>
          <w:tcPr>
            <w:tcW w:w="983"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12</w:t>
            </w:r>
          </w:p>
        </w:tc>
      </w:tr>
      <w:tr>
        <w:trPr>
          <w:trHeight w:val="315" w:hRule="atLeast"/>
        </w:trPr>
        <w:tc>
          <w:tcPr>
            <w:tcW w:w="723"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2"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6"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1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2"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8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315" w:hRule="atLeast"/>
        </w:trPr>
        <w:tc>
          <w:tcPr>
            <w:tcW w:w="723"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9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9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92"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6"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1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2"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8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315" w:hRule="atLeast"/>
        </w:trPr>
        <w:tc>
          <w:tcPr>
            <w:tcW w:w="723"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2"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6"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1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2"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8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315" w:hRule="atLeast"/>
        </w:trPr>
        <w:tc>
          <w:tcPr>
            <w:tcW w:w="723"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9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9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92"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6"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1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2"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8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bl>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mc:AlternateContent>
          <mc:Choice Requires="wps">
            <w:drawing>
              <wp:anchor behindDoc="0" distT="0" distB="0" distL="114300" distR="114300" simplePos="0" locked="0" layoutInCell="0" allowOverlap="1" relativeHeight="10">
                <wp:simplePos x="0" y="0"/>
                <wp:positionH relativeFrom="column">
                  <wp:posOffset>3709035</wp:posOffset>
                </wp:positionH>
                <wp:positionV relativeFrom="paragraph">
                  <wp:posOffset>50800</wp:posOffset>
                </wp:positionV>
                <wp:extent cx="1943735" cy="334010"/>
                <wp:effectExtent l="0" t="0" r="0" b="0"/>
                <wp:wrapNone/>
                <wp:docPr id="14" name=""/>
                <a:graphic xmlns:a="http://schemas.openxmlformats.org/drawingml/2006/main">
                  <a:graphicData uri="http://schemas.microsoft.com/office/word/2010/wordprocessingShape">
                    <wps:wsp>
                      <wps:cNvSpPr/>
                      <wps:nvSpPr>
                        <wps:cNvPr id="6" name="Rectangle 1"/>
                        <wps:cNvSpPr/>
                      </wps:nvSpPr>
                      <wps:spPr>
                        <a:xfrm>
                          <a:off x="0" y="0"/>
                          <a:ext cx="1943280" cy="333360"/>
                        </a:xfrm>
                        <a:prstGeom prst="rect">
                          <a:avLst/>
                        </a:prstGeom>
                        <a:solidFill>
                          <a:srgbClr val="ffffff"/>
                        </a:solidFill>
                        <a:ln w="0">
                          <a:solidFill>
                            <a:srgbClr val="000000"/>
                          </a:solidFill>
                        </a:ln>
                      </wps:spPr>
                      <wps:bodyPr/>
                    </wps:wsp>
                  </a:graphicData>
                </a:graphic>
              </wp:anchor>
            </w:drawing>
          </mc:Choice>
          <mc:Fallback>
            <w:pict>
              <v:rect id="shape_0" fillcolor="white" stroked="t" style="position:absolute;margin-left:292.05pt;margin-top:4pt;width:152.95pt;height:26.2pt;mso-wrap-style:none;v-text-anchor:middle">
                <v:fill o:detectmouseclick="t" type="solid" color2="black"/>
                <v:stroke color="black" joinstyle="round" endcap="flat"/>
                <w10:wrap type="none"/>
              </v:rect>
            </w:pict>
          </mc:Fallback>
        </mc:AlternateContent>
      </w:r>
      <w:r>
        <w:rPr>
          <w:rFonts w:cs="Times New Roman" w:ascii="Times New Roman" w:hAnsi="Times New Roman"/>
        </w:rPr>
        <w:t>Д</w:t>
      </w:r>
      <w:r>
        <w:rPr>
          <w:rFonts w:cs="Times New Roman" w:ascii="Times New Roman" w:hAnsi="Times New Roman"/>
        </w:rPr>
        <w:t xml:space="preserve">опустимые (возможные) отклонения от установленных  </w:t>
      </w:r>
    </w:p>
    <w:p>
      <w:pPr>
        <w:pStyle w:val="ConsPlusNonformat"/>
        <w:jc w:val="both"/>
        <w:rPr>
          <w:rFonts w:ascii="Times New Roman" w:hAnsi="Times New Roman" w:cs="Times New Roman"/>
        </w:rPr>
      </w:pPr>
      <w:r>
        <w:rPr>
          <w:rFonts w:cs="Times New Roman" w:ascii="Times New Roman" w:hAnsi="Times New Roman"/>
        </w:rPr>
        <w:t xml:space="preserve">показателей качества работы,  в  пределах  которых  </w:t>
      </w:r>
    </w:p>
    <w:p>
      <w:pPr>
        <w:pStyle w:val="ConsPlusNonformat"/>
        <w:jc w:val="both"/>
        <w:rPr>
          <w:sz w:val="20"/>
          <w:szCs w:val="20"/>
        </w:rPr>
      </w:pPr>
      <w:r>
        <w:rPr>
          <w:rFonts w:cs="Times New Roman" w:ascii="Times New Roman" w:hAnsi="Times New Roman"/>
        </w:rPr>
        <w:t>муниципальное задание считается выполненным (в %)</w:t>
      </w:r>
      <w:r>
        <w:rPr/>
        <w:t xml:space="preserve">   </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bookmarkStart w:id="4" w:name="P615"/>
      <w:bookmarkStart w:id="5" w:name="P615"/>
      <w:bookmarkEnd w:id="5"/>
    </w:p>
    <w:p>
      <w:pPr>
        <w:pStyle w:val="ConsPlusNonformat"/>
        <w:jc w:val="both"/>
        <w:rPr>
          <w:rFonts w:ascii="Times New Roman" w:hAnsi="Times New Roman" w:cs="Times New Roman"/>
        </w:rPr>
      </w:pPr>
      <w:r>
        <w:rPr>
          <w:rFonts w:cs="Times New Roman" w:ascii="Times New Roman" w:hAnsi="Times New Roman"/>
        </w:rPr>
        <w:t>3.2. Показатели, характеризующие объем (содержание) работы</w:t>
      </w:r>
    </w:p>
    <w:p>
      <w:pPr>
        <w:pStyle w:val="ConsPlusNormal"/>
        <w:jc w:val="both"/>
        <w:rPr>
          <w:sz w:val="20"/>
          <w:szCs w:val="20"/>
        </w:rPr>
      </w:pPr>
      <w:r>
        <w:rPr/>
      </w:r>
    </w:p>
    <w:tbl>
      <w:tblPr>
        <w:tblW w:w="10505" w:type="dxa"/>
        <w:jc w:val="left"/>
        <w:tblInd w:w="93" w:type="dxa"/>
        <w:tblLayout w:type="fixed"/>
        <w:tblCellMar>
          <w:top w:w="0" w:type="dxa"/>
          <w:left w:w="108" w:type="dxa"/>
          <w:bottom w:w="0" w:type="dxa"/>
          <w:right w:w="108" w:type="dxa"/>
        </w:tblCellMar>
        <w:tblLook w:val="04a0"/>
      </w:tblPr>
      <w:tblGrid>
        <w:gridCol w:w="723"/>
        <w:gridCol w:w="851"/>
        <w:gridCol w:w="850"/>
        <w:gridCol w:w="852"/>
        <w:gridCol w:w="992"/>
        <w:gridCol w:w="991"/>
        <w:gridCol w:w="709"/>
        <w:gridCol w:w="568"/>
        <w:gridCol w:w="709"/>
        <w:gridCol w:w="708"/>
        <w:gridCol w:w="851"/>
        <w:gridCol w:w="850"/>
        <w:gridCol w:w="850"/>
      </w:tblGrid>
      <w:tr>
        <w:trPr>
          <w:trHeight w:val="858" w:hRule="atLeast"/>
        </w:trPr>
        <w:tc>
          <w:tcPr>
            <w:tcW w:w="72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Уникальный номер реестровой записи по региональному перечню</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(6)</w:t>
            </w:r>
          </w:p>
        </w:tc>
        <w:tc>
          <w:tcPr>
            <w:tcW w:w="2553" w:type="dxa"/>
            <w:gridSpan w:val="3"/>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Показатель, характеризующий содержание работы </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 справочникам)</w:t>
            </w:r>
          </w:p>
        </w:tc>
        <w:tc>
          <w:tcPr>
            <w:tcW w:w="1983"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Показатель, характеризующий условия (формы) выполнения работы (по справочникам)</w:t>
            </w:r>
          </w:p>
        </w:tc>
        <w:tc>
          <w:tcPr>
            <w:tcW w:w="2694" w:type="dxa"/>
            <w:gridSpan w:val="4"/>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Показатель объема работы</w:t>
            </w:r>
          </w:p>
        </w:tc>
        <w:tc>
          <w:tcPr>
            <w:tcW w:w="2551" w:type="dxa"/>
            <w:gridSpan w:val="3"/>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Значение показателя качества работы</w:t>
            </w:r>
          </w:p>
        </w:tc>
      </w:tr>
      <w:tr>
        <w:trPr>
          <w:trHeight w:val="172" w:hRule="atLeast"/>
        </w:trPr>
        <w:tc>
          <w:tcPr>
            <w:tcW w:w="72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2553" w:type="dxa"/>
            <w:gridSpan w:val="3"/>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983" w:type="dxa"/>
            <w:gridSpan w:val="2"/>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наименование показателя </w:t>
            </w:r>
          </w:p>
        </w:tc>
        <w:tc>
          <w:tcPr>
            <w:tcW w:w="1277" w:type="dxa"/>
            <w:gridSpan w:val="2"/>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16"/>
                <w:szCs w:val="16"/>
                <w:lang w:eastAsia="ru-RU"/>
              </w:rPr>
            </w:pPr>
            <w:hyperlink r:id="rId21">
              <w:r>
                <w:rPr>
                  <w:rFonts w:eastAsia="Times New Roman" w:cs="Times New Roman" w:ascii="Times New Roman" w:hAnsi="Times New Roman"/>
                  <w:sz w:val="16"/>
                  <w:szCs w:val="16"/>
                  <w:lang w:eastAsia="ru-RU"/>
                </w:rPr>
                <w:t>единица</w:t>
              </w:r>
            </w:hyperlink>
            <w:r>
              <w:rPr>
                <w:rFonts w:cs="Times New Roman" w:ascii="Times New Roman" w:hAnsi="Times New Roman"/>
                <w:sz w:val="16"/>
                <w:szCs w:val="16"/>
              </w:rPr>
              <w:t xml:space="preserve"> измерения</w:t>
            </w:r>
          </w:p>
        </w:tc>
        <w:tc>
          <w:tcPr>
            <w:tcW w:w="708"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описание работы</w:t>
            </w:r>
          </w:p>
        </w:tc>
        <w:tc>
          <w:tcPr>
            <w:tcW w:w="85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20__ год (очередной финансовый год)</w:t>
            </w:r>
          </w:p>
        </w:tc>
        <w:tc>
          <w:tcPr>
            <w:tcW w:w="85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20__ год </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(1-й год планового периода)</w:t>
            </w:r>
          </w:p>
        </w:tc>
        <w:tc>
          <w:tcPr>
            <w:tcW w:w="85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20__ год </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(2-й год планового периода)</w:t>
            </w:r>
          </w:p>
        </w:tc>
      </w:tr>
      <w:tr>
        <w:trPr>
          <w:trHeight w:val="54" w:hRule="atLeast"/>
        </w:trPr>
        <w:tc>
          <w:tcPr>
            <w:tcW w:w="72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restart"/>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показателя) </w:t>
            </w:r>
          </w:p>
        </w:tc>
        <w:tc>
          <w:tcPr>
            <w:tcW w:w="850" w:type="dxa"/>
            <w:vMerge w:val="restart"/>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показателя) </w:t>
            </w:r>
          </w:p>
        </w:tc>
        <w:tc>
          <w:tcPr>
            <w:tcW w:w="852" w:type="dxa"/>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92" w:type="dxa"/>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91" w:type="dxa"/>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568"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наименование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код</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 ОКЕИ</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(7)</w:t>
            </w:r>
          </w:p>
        </w:tc>
        <w:tc>
          <w:tcPr>
            <w:tcW w:w="70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r>
      <w:tr>
        <w:trPr>
          <w:trHeight w:val="881" w:hRule="atLeast"/>
        </w:trPr>
        <w:tc>
          <w:tcPr>
            <w:tcW w:w="723" w:type="dxa"/>
            <w:vMerge w:val="continue"/>
            <w:tcBorders>
              <w:top w:val="single" w:sz="8" w:space="0" w:color="000000"/>
              <w:left w:val="single" w:sz="8" w:space="0" w:color="000000"/>
              <w:bottom w:val="single" w:sz="4"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bottom w:val="single" w:sz="4" w:space="0" w:color="000000"/>
              <w:right w:val="single" w:sz="8" w:space="0" w:color="000000"/>
            </w:tcBorders>
            <w:shd w:color="auto" w:fill="auto" w:val="clear"/>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0" w:type="dxa"/>
            <w:vMerge w:val="continue"/>
            <w:tcBorders>
              <w:bottom w:val="single" w:sz="4" w:space="0" w:color="000000"/>
              <w:right w:val="single" w:sz="8" w:space="0" w:color="000000"/>
            </w:tcBorders>
            <w:shd w:color="auto" w:fill="auto" w:val="clear"/>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показателя)</w:t>
            </w:r>
          </w:p>
        </w:tc>
        <w:tc>
          <w:tcPr>
            <w:tcW w:w="992"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показателя)</w:t>
            </w:r>
          </w:p>
        </w:tc>
        <w:tc>
          <w:tcPr>
            <w:tcW w:w="991"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показателя) </w:t>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56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r>
      <w:tr>
        <w:trPr>
          <w:trHeight w:val="315" w:hRule="atLeast"/>
        </w:trPr>
        <w:tc>
          <w:tcPr>
            <w:tcW w:w="723"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3</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4</w:t>
            </w:r>
          </w:p>
        </w:tc>
        <w:tc>
          <w:tcPr>
            <w:tcW w:w="992"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5</w:t>
            </w:r>
          </w:p>
        </w:tc>
        <w:tc>
          <w:tcPr>
            <w:tcW w:w="991"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6</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7</w:t>
            </w:r>
          </w:p>
        </w:tc>
        <w:tc>
          <w:tcPr>
            <w:tcW w:w="568"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8</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9</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10</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11</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12</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13</w:t>
            </w:r>
          </w:p>
        </w:tc>
      </w:tr>
      <w:tr>
        <w:trPr>
          <w:trHeight w:val="315" w:hRule="atLeast"/>
        </w:trPr>
        <w:tc>
          <w:tcPr>
            <w:tcW w:w="723"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315" w:hRule="atLeast"/>
        </w:trPr>
        <w:tc>
          <w:tcPr>
            <w:tcW w:w="723"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9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9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315" w:hRule="atLeast"/>
        </w:trPr>
        <w:tc>
          <w:tcPr>
            <w:tcW w:w="723"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315" w:hRule="atLeast"/>
        </w:trPr>
        <w:tc>
          <w:tcPr>
            <w:tcW w:w="723"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9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9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bl>
    <w:p>
      <w:pPr>
        <w:pStyle w:val="ConsPlusNormal"/>
        <w:jc w:val="both"/>
        <w:rPr>
          <w:sz w:val="20"/>
          <w:szCs w:val="20"/>
        </w:rPr>
      </w:pPr>
      <w:r>
        <w:rPr/>
      </w:r>
    </w:p>
    <w:p>
      <w:pPr>
        <w:pStyle w:val="ConsPlusNonformat"/>
        <w:jc w:val="both"/>
        <w:rPr>
          <w:rFonts w:ascii="Times New Roman" w:hAnsi="Times New Roman" w:cs="Times New Roman"/>
        </w:rPr>
      </w:pPr>
      <w:r>
        <mc:AlternateContent>
          <mc:Choice Requires="wps">
            <w:drawing>
              <wp:anchor behindDoc="0" distT="0" distB="0" distL="114300" distR="114300" simplePos="0" locked="0" layoutInCell="0" allowOverlap="1" relativeHeight="11">
                <wp:simplePos x="0" y="0"/>
                <wp:positionH relativeFrom="column">
                  <wp:posOffset>3709035</wp:posOffset>
                </wp:positionH>
                <wp:positionV relativeFrom="paragraph">
                  <wp:posOffset>50800</wp:posOffset>
                </wp:positionV>
                <wp:extent cx="1943735" cy="334010"/>
                <wp:effectExtent l="0" t="0" r="0" b="0"/>
                <wp:wrapNone/>
                <wp:docPr id="15" name=""/>
                <a:graphic xmlns:a="http://schemas.openxmlformats.org/drawingml/2006/main">
                  <a:graphicData uri="http://schemas.microsoft.com/office/word/2010/wordprocessingShape">
                    <wps:wsp>
                      <wps:cNvSpPr/>
                      <wps:nvSpPr>
                        <wps:cNvPr id="7" name="Rectangle 1"/>
                        <wps:cNvSpPr/>
                      </wps:nvSpPr>
                      <wps:spPr>
                        <a:xfrm>
                          <a:off x="0" y="0"/>
                          <a:ext cx="1943280" cy="333360"/>
                        </a:xfrm>
                        <a:prstGeom prst="rect">
                          <a:avLst/>
                        </a:prstGeom>
                        <a:solidFill>
                          <a:srgbClr val="ffffff"/>
                        </a:solidFill>
                        <a:ln w="0">
                          <a:solidFill>
                            <a:srgbClr val="000000"/>
                          </a:solidFill>
                        </a:ln>
                      </wps:spPr>
                      <wps:bodyPr/>
                    </wps:wsp>
                  </a:graphicData>
                </a:graphic>
              </wp:anchor>
            </w:drawing>
          </mc:Choice>
          <mc:Fallback>
            <w:pict>
              <v:rect id="shape_0" fillcolor="white" stroked="t" style="position:absolute;margin-left:292.05pt;margin-top:4pt;width:152.95pt;height:26.2pt;mso-wrap-style:none;v-text-anchor:middle">
                <v:fill o:detectmouseclick="t" type="solid" color2="black"/>
                <v:stroke color="black" joinstyle="round" endcap="flat"/>
                <w10:wrap type="none"/>
              </v:rect>
            </w:pict>
          </mc:Fallback>
        </mc:AlternateContent>
      </w:r>
      <w:r>
        <w:rPr>
          <w:rFonts w:cs="Times New Roman" w:ascii="Times New Roman" w:hAnsi="Times New Roman"/>
        </w:rPr>
        <w:t>Д</w:t>
      </w:r>
      <w:r>
        <w:rPr>
          <w:rFonts w:cs="Times New Roman" w:ascii="Times New Roman" w:hAnsi="Times New Roman"/>
        </w:rPr>
        <w:t xml:space="preserve">опустимые (возможные) отклонения от установленных  </w:t>
      </w:r>
    </w:p>
    <w:p>
      <w:pPr>
        <w:pStyle w:val="ConsPlusNonformat"/>
        <w:jc w:val="both"/>
        <w:rPr>
          <w:rFonts w:ascii="Times New Roman" w:hAnsi="Times New Roman" w:cs="Times New Roman"/>
        </w:rPr>
      </w:pPr>
      <w:r>
        <w:rPr>
          <w:rFonts w:cs="Times New Roman" w:ascii="Times New Roman" w:hAnsi="Times New Roman"/>
        </w:rPr>
        <w:t xml:space="preserve">показателей объема работы,  в  пределах  которых  </w:t>
      </w:r>
    </w:p>
    <w:p>
      <w:pPr>
        <w:pStyle w:val="ConsPlusNonformat"/>
        <w:jc w:val="both"/>
        <w:rPr>
          <w:sz w:val="20"/>
          <w:szCs w:val="20"/>
        </w:rPr>
      </w:pPr>
      <w:r>
        <w:rPr>
          <w:rFonts w:cs="Times New Roman" w:ascii="Times New Roman" w:hAnsi="Times New Roman"/>
        </w:rPr>
        <w:t>муниципальное задание считается выполненным (в %)</w:t>
      </w:r>
      <w:r>
        <w:rPr/>
        <w:t xml:space="preserve">   </w:t>
      </w:r>
    </w:p>
    <w:p>
      <w:pPr>
        <w:pStyle w:val="ConsPlusNonformat"/>
        <w:jc w:val="center"/>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vertAlign w:val="superscript"/>
        </w:rPr>
      </w:pPr>
      <w:r>
        <w:rPr>
          <w:rFonts w:cs="Times New Roman" w:ascii="Times New Roman" w:hAnsi="Times New Roman"/>
        </w:rPr>
        <w:t xml:space="preserve">ЧАСТЬ 3. Прочие сведения о муниципальном задании </w:t>
      </w:r>
      <w:r>
        <w:rPr>
          <w:rFonts w:cs="Times New Roman" w:ascii="Times New Roman" w:hAnsi="Times New Roman"/>
          <w:vertAlign w:val="superscript"/>
        </w:rPr>
        <w:t>10)</w:t>
      </w:r>
    </w:p>
    <w:p>
      <w:pPr>
        <w:pStyle w:val="ConsPlusNonformat"/>
        <w:jc w:val="both"/>
        <w:rPr>
          <w:rFonts w:ascii="Times New Roman" w:hAnsi="Times New Roman" w:cs="Times New Roman"/>
        </w:rPr>
      </w:pPr>
      <w:r>
        <w:rPr>
          <w:rFonts w:cs="Times New Roman" w:ascii="Times New Roman" w:hAnsi="Times New Roman"/>
        </w:rPr>
        <w:t xml:space="preserve"> </w:t>
      </w:r>
    </w:p>
    <w:p>
      <w:pPr>
        <w:pStyle w:val="ConsPlusNonformat"/>
        <w:jc w:val="both"/>
        <w:rPr>
          <w:rFonts w:ascii="Times New Roman" w:hAnsi="Times New Roman" w:cs="Times New Roman"/>
        </w:rPr>
      </w:pPr>
      <w:r>
        <w:rPr>
          <w:rFonts w:cs="Times New Roman" w:ascii="Times New Roman" w:hAnsi="Times New Roman"/>
        </w:rPr>
        <w:t>1</w:t>
      </w:r>
      <w:r>
        <w:rPr>
          <w:rFonts w:cs="Times New Roman" w:ascii="Times New Roman" w:hAnsi="Times New Roman"/>
          <w:strike/>
        </w:rPr>
        <w:t xml:space="preserve"> </w:t>
      </w:r>
      <w:r>
        <w:rPr>
          <w:rFonts w:cs="Times New Roman" w:ascii="Times New Roman" w:hAnsi="Times New Roman"/>
        </w:rPr>
        <w:t>Условия и порядок досрочного прекращения исполнения муниципального  задания</w:t>
      </w:r>
    </w:p>
    <w:p>
      <w:pPr>
        <w:pStyle w:val="ConsPlusNonformat"/>
        <w:jc w:val="both"/>
        <w:rPr>
          <w:sz w:val="20"/>
          <w:szCs w:val="20"/>
        </w:rPr>
      </w:pPr>
      <w:r>
        <w:rPr/>
        <w:t>___________________________________________________________________________</w:t>
      </w:r>
    </w:p>
    <w:p>
      <w:pPr>
        <w:pStyle w:val="ConsPlusNonformat"/>
        <w:jc w:val="both"/>
        <w:rPr>
          <w:sz w:val="20"/>
          <w:szCs w:val="20"/>
        </w:rPr>
      </w:pPr>
      <w:r>
        <w:rPr/>
        <w:t>___________________________________________________________________________</w:t>
      </w:r>
    </w:p>
    <w:p>
      <w:pPr>
        <w:pStyle w:val="ConsPlusNonformat"/>
        <w:jc w:val="both"/>
        <w:rPr>
          <w:sz w:val="20"/>
          <w:szCs w:val="20"/>
        </w:rPr>
      </w:pPr>
      <w:r>
        <w:rPr/>
      </w:r>
    </w:p>
    <w:p>
      <w:pPr>
        <w:pStyle w:val="ConsPlusNonformat"/>
        <w:jc w:val="both"/>
        <w:rPr>
          <w:rFonts w:ascii="Times New Roman" w:hAnsi="Times New Roman" w:cs="Times New Roman"/>
        </w:rPr>
      </w:pPr>
      <w:r>
        <w:rPr>
          <w:rFonts w:cs="Times New Roman" w:ascii="Times New Roman" w:hAnsi="Times New Roman"/>
        </w:rPr>
        <w:t>2. Иная информация, необходимая для выполнения (контроля за исполнением) муниципального задания</w:t>
      </w:r>
      <w:r>
        <w:rPr/>
        <w:t xml:space="preserve"> ___________________________________________________________________________ </w:t>
      </w:r>
    </w:p>
    <w:p>
      <w:pPr>
        <w:pStyle w:val="ConsPlusNonformat"/>
        <w:jc w:val="both"/>
        <w:rPr>
          <w:sz w:val="20"/>
          <w:szCs w:val="20"/>
        </w:rPr>
      </w:pPr>
      <w:r>
        <w:rPr/>
        <w:t>___________________________________________________________________________</w:t>
      </w:r>
    </w:p>
    <w:p>
      <w:pPr>
        <w:pStyle w:val="ConsPlusNonformat"/>
        <w:jc w:val="both"/>
        <w:rPr>
          <w:sz w:val="20"/>
          <w:szCs w:val="20"/>
        </w:rPr>
      </w:pPr>
      <w:r>
        <w:rPr/>
      </w:r>
    </w:p>
    <w:p>
      <w:pPr>
        <w:pStyle w:val="ConsPlusNonformat"/>
        <w:jc w:val="both"/>
        <w:rPr>
          <w:rFonts w:ascii="Times New Roman" w:hAnsi="Times New Roman" w:cs="Times New Roman"/>
        </w:rPr>
      </w:pPr>
      <w:r>
        <w:rPr>
          <w:rFonts w:cs="Times New Roman" w:ascii="Times New Roman" w:hAnsi="Times New Roman"/>
        </w:rPr>
        <w:t>3. Порядок контроля за исполнением муниципального задания</w:t>
      </w:r>
    </w:p>
    <w:p>
      <w:pPr>
        <w:pStyle w:val="ConsPlusNormal"/>
        <w:jc w:val="both"/>
        <w:rPr>
          <w:sz w:val="20"/>
        </w:rPr>
      </w:pPr>
      <w:r>
        <w:rPr>
          <w:sz w:val="20"/>
        </w:rPr>
      </w:r>
    </w:p>
    <w:tbl>
      <w:tblPr>
        <w:tblW w:w="10363" w:type="dxa"/>
        <w:jc w:val="left"/>
        <w:tblInd w:w="93" w:type="dxa"/>
        <w:tblLayout w:type="fixed"/>
        <w:tblCellMar>
          <w:top w:w="0" w:type="dxa"/>
          <w:left w:w="108" w:type="dxa"/>
          <w:bottom w:w="0" w:type="dxa"/>
          <w:right w:w="108" w:type="dxa"/>
        </w:tblCellMar>
        <w:tblLook w:val="04a0"/>
      </w:tblPr>
      <w:tblGrid>
        <w:gridCol w:w="2708"/>
        <w:gridCol w:w="3403"/>
        <w:gridCol w:w="4252"/>
      </w:tblGrid>
      <w:tr>
        <w:trPr>
          <w:trHeight w:val="745" w:hRule="atLeast"/>
        </w:trPr>
        <w:tc>
          <w:tcPr>
            <w:tcW w:w="27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Формы контроля</w:t>
            </w:r>
          </w:p>
        </w:tc>
        <w:tc>
          <w:tcPr>
            <w:tcW w:w="340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Периодичность</w:t>
            </w:r>
          </w:p>
        </w:tc>
        <w:tc>
          <w:tcPr>
            <w:tcW w:w="4252"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Органы местного самоуправления, осуществляющие контроль за выполнением муниципального задания</w:t>
            </w:r>
          </w:p>
        </w:tc>
      </w:tr>
      <w:tr>
        <w:trPr>
          <w:trHeight w:val="315" w:hRule="atLeast"/>
        </w:trPr>
        <w:tc>
          <w:tcPr>
            <w:tcW w:w="2708"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1</w:t>
            </w:r>
          </w:p>
        </w:tc>
        <w:tc>
          <w:tcPr>
            <w:tcW w:w="3403" w:type="dxa"/>
            <w:tcBorders>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2</w:t>
            </w:r>
          </w:p>
        </w:tc>
        <w:tc>
          <w:tcPr>
            <w:tcW w:w="4252" w:type="dxa"/>
            <w:tcBorders>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3</w:t>
            </w:r>
          </w:p>
        </w:tc>
      </w:tr>
      <w:tr>
        <w:trPr>
          <w:trHeight w:val="315" w:hRule="atLeast"/>
        </w:trPr>
        <w:tc>
          <w:tcPr>
            <w:tcW w:w="2708"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 </w:t>
            </w:r>
          </w:p>
        </w:tc>
        <w:tc>
          <w:tcPr>
            <w:tcW w:w="340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 </w:t>
            </w:r>
          </w:p>
        </w:tc>
        <w:tc>
          <w:tcPr>
            <w:tcW w:w="4252"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 </w:t>
            </w:r>
          </w:p>
        </w:tc>
      </w:tr>
      <w:tr>
        <w:trPr>
          <w:trHeight w:val="315" w:hRule="atLeast"/>
        </w:trPr>
        <w:tc>
          <w:tcPr>
            <w:tcW w:w="2708"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 </w:t>
            </w:r>
          </w:p>
        </w:tc>
        <w:tc>
          <w:tcPr>
            <w:tcW w:w="340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 </w:t>
            </w:r>
          </w:p>
        </w:tc>
        <w:tc>
          <w:tcPr>
            <w:tcW w:w="4252"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 </w:t>
            </w:r>
          </w:p>
        </w:tc>
      </w:tr>
    </w:tbl>
    <w:p>
      <w:pPr>
        <w:pStyle w:val="ConsPlusNormal"/>
        <w:jc w:val="both"/>
        <w:rPr>
          <w:sz w:val="20"/>
        </w:rPr>
      </w:pPr>
      <w:r>
        <w:rPr>
          <w:sz w:val="20"/>
        </w:rPr>
      </w:r>
    </w:p>
    <w:p>
      <w:pPr>
        <w:pStyle w:val="ConsPlusNonformat"/>
        <w:jc w:val="both"/>
        <w:rPr>
          <w:sz w:val="20"/>
          <w:szCs w:val="20"/>
        </w:rPr>
      </w:pPr>
      <w:r>
        <w:rPr>
          <w:rFonts w:cs="Times New Roman" w:ascii="Times New Roman" w:hAnsi="Times New Roman"/>
        </w:rPr>
        <w:t>4. Требования к отчетности об исполнении муниципального задания</w:t>
      </w:r>
      <w:r>
        <w:rPr/>
        <w:t xml:space="preserve"> _____________</w:t>
      </w:r>
    </w:p>
    <w:p>
      <w:pPr>
        <w:pStyle w:val="ConsPlusNonformat"/>
        <w:jc w:val="both"/>
        <w:rPr>
          <w:sz w:val="20"/>
          <w:szCs w:val="20"/>
        </w:rPr>
      </w:pPr>
      <w:r>
        <w:rPr/>
        <w:t>___________________________________________________________________________</w:t>
      </w:r>
    </w:p>
    <w:p>
      <w:pPr>
        <w:pStyle w:val="ConsPlusNonformat"/>
        <w:jc w:val="both"/>
        <w:rPr>
          <w:sz w:val="20"/>
          <w:szCs w:val="20"/>
        </w:rPr>
      </w:pPr>
      <w:r>
        <w:rPr/>
      </w:r>
    </w:p>
    <w:p>
      <w:pPr>
        <w:pStyle w:val="ConsPlusNonformat"/>
        <w:jc w:val="both"/>
        <w:rPr>
          <w:rFonts w:ascii="Times New Roman" w:hAnsi="Times New Roman" w:cs="Times New Roman"/>
        </w:rPr>
      </w:pPr>
      <w:r>
        <w:rPr>
          <w:rFonts w:cs="Times New Roman" w:ascii="Times New Roman" w:hAnsi="Times New Roman"/>
        </w:rPr>
        <w:t>4.1.  Периодичность  представления  отчетов  об исполнении  муниципального</w:t>
      </w:r>
    </w:p>
    <w:p>
      <w:pPr>
        <w:pStyle w:val="ConsPlusNonformat"/>
        <w:jc w:val="both"/>
        <w:rPr>
          <w:sz w:val="20"/>
          <w:szCs w:val="20"/>
        </w:rPr>
      </w:pPr>
      <w:r>
        <w:rPr>
          <w:rFonts w:cs="Times New Roman" w:ascii="Times New Roman" w:hAnsi="Times New Roman"/>
        </w:rPr>
        <w:t>задания</w:t>
      </w:r>
      <w:r>
        <w:rPr/>
        <w:t xml:space="preserve"> ___________________________________________________________________</w:t>
      </w:r>
    </w:p>
    <w:p>
      <w:pPr>
        <w:pStyle w:val="ConsPlusNonformat"/>
        <w:jc w:val="both"/>
        <w:rPr>
          <w:sz w:val="20"/>
          <w:szCs w:val="20"/>
        </w:rPr>
      </w:pPr>
      <w:r>
        <w:rPr/>
      </w:r>
    </w:p>
    <w:p>
      <w:pPr>
        <w:pStyle w:val="ConsPlusNonformat"/>
        <w:jc w:val="both"/>
        <w:rPr>
          <w:rFonts w:ascii="Times New Roman" w:hAnsi="Times New Roman" w:cs="Times New Roman"/>
        </w:rPr>
      </w:pPr>
      <w:r>
        <w:rPr>
          <w:rFonts w:cs="Times New Roman" w:ascii="Times New Roman" w:hAnsi="Times New Roman"/>
        </w:rPr>
        <w:t>4.2. Сроки  представления  отчетов  об исполнении муниципального  задания</w:t>
      </w:r>
    </w:p>
    <w:p>
      <w:pPr>
        <w:pStyle w:val="ConsPlusNonformat"/>
        <w:jc w:val="both"/>
        <w:rPr>
          <w:sz w:val="20"/>
          <w:szCs w:val="20"/>
        </w:rPr>
      </w:pPr>
      <w:r>
        <w:rPr>
          <w:rFonts w:cs="Times New Roman" w:ascii="Times New Roman" w:hAnsi="Times New Roman"/>
        </w:rPr>
        <w:t>___________________________________________________________________________</w:t>
      </w:r>
    </w:p>
    <w:p>
      <w:pPr>
        <w:pStyle w:val="ConsPlusNonformat"/>
        <w:jc w:val="both"/>
        <w:rPr>
          <w:sz w:val="20"/>
          <w:szCs w:val="20"/>
        </w:rPr>
      </w:pPr>
      <w:r>
        <w:rPr/>
        <w:t>___________________________________________________________________________</w:t>
      </w:r>
    </w:p>
    <w:p>
      <w:pPr>
        <w:pStyle w:val="ConsPlusNonformat"/>
        <w:jc w:val="both"/>
        <w:rPr>
          <w:sz w:val="20"/>
          <w:szCs w:val="20"/>
        </w:rPr>
      </w:pPr>
      <w:r>
        <w:rPr/>
      </w:r>
    </w:p>
    <w:p>
      <w:pPr>
        <w:pStyle w:val="ConsPlusNonformat"/>
        <w:jc w:val="both"/>
        <w:rPr>
          <w:rFonts w:ascii="Times New Roman" w:hAnsi="Times New Roman" w:cs="Times New Roman"/>
        </w:rPr>
      </w:pPr>
      <w:r>
        <w:rPr>
          <w:rFonts w:cs="Times New Roman" w:ascii="Times New Roman" w:hAnsi="Times New Roman"/>
        </w:rPr>
        <w:t>4.2.1. Срок  представления  предварительного отчета об исполнении муниципального  задания</w:t>
      </w:r>
    </w:p>
    <w:p>
      <w:pPr>
        <w:pStyle w:val="ConsPlusNonformat"/>
        <w:jc w:val="both"/>
        <w:rPr>
          <w:sz w:val="20"/>
          <w:szCs w:val="20"/>
        </w:rPr>
      </w:pPr>
      <w:r>
        <w:rPr>
          <w:rFonts w:cs="Times New Roman" w:ascii="Times New Roman" w:hAnsi="Times New Roman"/>
        </w:rPr>
        <w:t>___________________________________________________________________________</w:t>
      </w:r>
    </w:p>
    <w:p>
      <w:pPr>
        <w:pStyle w:val="ConsPlusNonformat"/>
        <w:jc w:val="both"/>
        <w:rPr>
          <w:rFonts w:ascii="Times New Roman" w:hAnsi="Times New Roman" w:cs="Times New Roman"/>
        </w:rPr>
      </w:pPr>
      <w:r>
        <w:rPr/>
        <w:t>___________________________________________________________________________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4.3. Иные  требования  к  отчетности об исполнении муниципального задания</w:t>
      </w:r>
    </w:p>
    <w:p>
      <w:pPr>
        <w:pStyle w:val="ConsPlusNonformat"/>
        <w:jc w:val="both"/>
        <w:rPr>
          <w:sz w:val="20"/>
          <w:szCs w:val="20"/>
        </w:rPr>
      </w:pPr>
      <w:r>
        <w:rPr/>
        <w:t>___________________________________________________________________________</w:t>
      </w:r>
    </w:p>
    <w:p>
      <w:pPr>
        <w:pStyle w:val="ConsPlusNonformat"/>
        <w:jc w:val="both"/>
        <w:rPr>
          <w:sz w:val="20"/>
          <w:szCs w:val="20"/>
        </w:rPr>
      </w:pPr>
      <w:r>
        <w:rPr/>
        <w:t>___________________________________________________________________________</w:t>
      </w:r>
    </w:p>
    <w:p>
      <w:pPr>
        <w:pStyle w:val="ConsPlusNonformat"/>
        <w:jc w:val="both"/>
        <w:rPr>
          <w:sz w:val="20"/>
          <w:szCs w:val="20"/>
        </w:rPr>
      </w:pPr>
      <w:r>
        <w:rPr/>
      </w:r>
    </w:p>
    <w:p>
      <w:pPr>
        <w:pStyle w:val="ConsPlusNonformat"/>
        <w:jc w:val="both"/>
        <w:rPr>
          <w:rFonts w:ascii="Times New Roman" w:hAnsi="Times New Roman" w:cs="Times New Roman"/>
        </w:rPr>
      </w:pPr>
      <w:r>
        <w:rPr>
          <w:rFonts w:cs="Times New Roman" w:ascii="Times New Roman" w:hAnsi="Times New Roman"/>
        </w:rPr>
        <w:t xml:space="preserve">5. Иные  показатели,  связанные  с  выполнением   муниципального  задания </w:t>
      </w:r>
      <w:r>
        <w:rPr>
          <w:rFonts w:cs="Times New Roman" w:ascii="Times New Roman" w:hAnsi="Times New Roman"/>
          <w:vertAlign w:val="superscript"/>
        </w:rPr>
        <w:t>11)</w:t>
      </w:r>
    </w:p>
    <w:p>
      <w:pPr>
        <w:pStyle w:val="ConsPlusNonformat"/>
        <w:jc w:val="both"/>
        <w:rPr>
          <w:sz w:val="20"/>
          <w:szCs w:val="20"/>
        </w:rPr>
      </w:pPr>
      <w:r>
        <w:rPr>
          <w:rFonts w:cs="Times New Roman" w:ascii="Times New Roman" w:hAnsi="Times New Roman"/>
        </w:rPr>
        <w:t>___________________________________________________________________________</w:t>
      </w:r>
    </w:p>
    <w:p>
      <w:pPr>
        <w:pStyle w:val="ConsPlusNonformat"/>
        <w:jc w:val="both"/>
        <w:rPr>
          <w:sz w:val="20"/>
          <w:szCs w:val="20"/>
        </w:rPr>
      </w:pPr>
      <w:r>
        <w:rPr/>
        <w:t>___________________________________________________________________________</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1)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pPr>
        <w:pStyle w:val="Normal"/>
        <w:spacing w:lineRule="auto" w:line="240" w:before="0" w:after="0"/>
        <w:jc w:val="both"/>
        <w:rPr>
          <w:rFonts w:ascii="Times New Roman" w:hAnsi="Times New Roman" w:cs="Times New Roman"/>
          <w:sz w:val="20"/>
          <w:szCs w:val="20"/>
        </w:rPr>
      </w:pPr>
      <w:bookmarkStart w:id="6" w:name="Par555"/>
      <w:bookmarkEnd w:id="6"/>
      <w:r>
        <w:rPr>
          <w:rFonts w:cs="Times New Roman" w:ascii="Times New Roman" w:hAnsi="Times New Roman"/>
          <w:sz w:val="20"/>
          <w:szCs w:val="20"/>
        </w:rPr>
        <w:t>2) Код по общероссийскому базовому (отраслевому) перечню.</w:t>
      </w:r>
    </w:p>
    <w:p>
      <w:pPr>
        <w:pStyle w:val="Normal"/>
        <w:spacing w:lineRule="auto" w:line="240" w:before="0" w:after="0"/>
        <w:jc w:val="both"/>
        <w:rPr>
          <w:rFonts w:ascii="Times New Roman" w:hAnsi="Times New Roman" w:cs="Times New Roman"/>
          <w:sz w:val="20"/>
          <w:szCs w:val="20"/>
        </w:rPr>
      </w:pPr>
      <w:bookmarkStart w:id="7" w:name="Par556"/>
      <w:bookmarkEnd w:id="7"/>
      <w:r>
        <w:rPr>
          <w:rFonts w:cs="Times New Roman" w:ascii="Times New Roman" w:hAnsi="Times New Roman"/>
          <w:sz w:val="20"/>
          <w:szCs w:val="20"/>
        </w:rPr>
        <w:t>3) Код по региональному перечню.</w:t>
      </w:r>
    </w:p>
    <w:p>
      <w:pPr>
        <w:pStyle w:val="Normal"/>
        <w:spacing w:lineRule="auto" w:line="240" w:before="0" w:after="0"/>
        <w:jc w:val="both"/>
        <w:rPr>
          <w:rFonts w:ascii="Times New Roman" w:hAnsi="Times New Roman" w:cs="Times New Roman"/>
          <w:sz w:val="20"/>
          <w:szCs w:val="20"/>
        </w:rPr>
      </w:pPr>
      <w:bookmarkStart w:id="8" w:name="Par557"/>
      <w:bookmarkEnd w:id="8"/>
      <w:r>
        <w:rPr>
          <w:rFonts w:cs="Times New Roman" w:ascii="Times New Roman" w:hAnsi="Times New Roman"/>
          <w:sz w:val="20"/>
          <w:szCs w:val="20"/>
        </w:rPr>
        <w:t>4) Заполняется при установлении показателей, характеризующих качество работы, в общероссийском базовом (отраслевом) или региональном перечне.</w:t>
      </w:r>
    </w:p>
    <w:p>
      <w:pPr>
        <w:pStyle w:val="Normal"/>
        <w:spacing w:lineRule="auto" w:line="240" w:before="0" w:after="0"/>
        <w:jc w:val="both"/>
        <w:rPr>
          <w:rFonts w:ascii="Times New Roman" w:hAnsi="Times New Roman" w:cs="Times New Roman"/>
          <w:sz w:val="20"/>
          <w:szCs w:val="20"/>
        </w:rPr>
      </w:pPr>
      <w:bookmarkStart w:id="9" w:name="Par558"/>
      <w:bookmarkEnd w:id="9"/>
      <w:r>
        <w:rPr>
          <w:rFonts w:cs="Times New Roman" w:ascii="Times New Roman" w:hAnsi="Times New Roman"/>
          <w:sz w:val="20"/>
          <w:szCs w:val="20"/>
        </w:rPr>
        <w:t>5) Уникальный номер реестровой записи по общероссийскому базовому (отраслевому) перечню.</w:t>
      </w:r>
    </w:p>
    <w:p>
      <w:pPr>
        <w:pStyle w:val="Normal"/>
        <w:spacing w:lineRule="auto" w:line="240" w:before="0" w:after="0"/>
        <w:jc w:val="both"/>
        <w:rPr>
          <w:rFonts w:ascii="Times New Roman" w:hAnsi="Times New Roman" w:cs="Times New Roman"/>
          <w:sz w:val="20"/>
          <w:szCs w:val="20"/>
        </w:rPr>
      </w:pPr>
      <w:bookmarkStart w:id="10" w:name="Par559"/>
      <w:bookmarkEnd w:id="10"/>
      <w:r>
        <w:rPr>
          <w:rFonts w:cs="Times New Roman" w:ascii="Times New Roman" w:hAnsi="Times New Roman"/>
          <w:sz w:val="20"/>
          <w:szCs w:val="20"/>
        </w:rPr>
        <w:t>6) Уникальный номер реестровой записи по региональному перечню.</w:t>
      </w:r>
    </w:p>
    <w:p>
      <w:pPr>
        <w:pStyle w:val="Normal"/>
        <w:spacing w:lineRule="auto" w:line="240" w:before="0" w:after="0"/>
        <w:jc w:val="both"/>
        <w:rPr>
          <w:rFonts w:ascii="Times New Roman" w:hAnsi="Times New Roman" w:cs="Times New Roman"/>
          <w:sz w:val="20"/>
          <w:szCs w:val="20"/>
        </w:rPr>
      </w:pPr>
      <w:bookmarkStart w:id="11" w:name="Par560"/>
      <w:bookmarkEnd w:id="11"/>
      <w:r>
        <w:rPr>
          <w:rFonts w:cs="Times New Roman" w:ascii="Times New Roman" w:hAnsi="Times New Roman"/>
          <w:sz w:val="20"/>
          <w:szCs w:val="20"/>
        </w:rPr>
        <w:t>7) Заполняется в соответствии с кодом, указанным в общероссийском базовом (отраслевом) или региональном перечне (при наличии).</w:t>
      </w:r>
    </w:p>
    <w:p>
      <w:pPr>
        <w:pStyle w:val="Normal"/>
        <w:spacing w:lineRule="auto" w:line="240" w:before="0" w:after="0"/>
        <w:jc w:val="both"/>
        <w:rPr>
          <w:rFonts w:ascii="Times New Roman" w:hAnsi="Times New Roman" w:cs="Times New Roman"/>
          <w:sz w:val="20"/>
          <w:szCs w:val="20"/>
        </w:rPr>
      </w:pPr>
      <w:bookmarkStart w:id="12" w:name="Par561"/>
      <w:bookmarkEnd w:id="12"/>
      <w:r>
        <w:rPr>
          <w:rFonts w:cs="Times New Roman" w:ascii="Times New Roman" w:hAnsi="Times New Roman"/>
          <w:sz w:val="20"/>
          <w:szCs w:val="20"/>
        </w:rPr>
        <w:t>8)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pPr>
        <w:pStyle w:val="Normal"/>
        <w:spacing w:lineRule="auto" w:line="240" w:before="0" w:after="0"/>
        <w:jc w:val="both"/>
        <w:rPr>
          <w:rFonts w:ascii="Times New Roman" w:hAnsi="Times New Roman" w:cs="Times New Roman"/>
          <w:sz w:val="20"/>
          <w:szCs w:val="20"/>
        </w:rPr>
      </w:pPr>
      <w:bookmarkStart w:id="13" w:name="Par562"/>
      <w:bookmarkEnd w:id="13"/>
      <w:r>
        <w:rPr>
          <w:rFonts w:cs="Times New Roman" w:ascii="Times New Roman" w:hAnsi="Times New Roman"/>
          <w:sz w:val="20"/>
          <w:szCs w:val="20"/>
        </w:rPr>
        <w:t>9) Заполняется при установлении показателей, характеризующих качество работы в региональном перечне.</w:t>
      </w:r>
    </w:p>
    <w:p>
      <w:pPr>
        <w:pStyle w:val="Normal"/>
        <w:spacing w:lineRule="auto" w:line="240" w:before="0" w:after="0"/>
        <w:jc w:val="both"/>
        <w:rPr>
          <w:rFonts w:ascii="Times New Roman" w:hAnsi="Times New Roman" w:cs="Times New Roman"/>
          <w:sz w:val="20"/>
          <w:szCs w:val="20"/>
        </w:rPr>
      </w:pPr>
      <w:bookmarkStart w:id="14" w:name="Par563"/>
      <w:bookmarkEnd w:id="14"/>
      <w:r>
        <w:rPr>
          <w:rFonts w:cs="Times New Roman" w:ascii="Times New Roman" w:hAnsi="Times New Roman"/>
          <w:sz w:val="20"/>
          <w:szCs w:val="20"/>
        </w:rPr>
        <w:t>10) Заполняется в целом по муниципальному заданию.</w:t>
      </w:r>
    </w:p>
    <w:p>
      <w:pPr>
        <w:pStyle w:val="ConsPlusNonformat"/>
        <w:jc w:val="both"/>
        <w:rPr>
          <w:rFonts w:ascii="Times New Roman" w:hAnsi="Times New Roman" w:cs="Times New Roman"/>
        </w:rPr>
      </w:pPr>
      <w:bookmarkStart w:id="15" w:name="Par564"/>
      <w:bookmarkEnd w:id="15"/>
      <w:r>
        <w:rPr>
          <w:rFonts w:cs="Times New Roman" w:ascii="Times New Roman" w:hAnsi="Times New Roman"/>
        </w:rPr>
        <w:t xml:space="preserve">11)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или автономных учреждений, главным распорядителем средств бюджета города,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 В этом случае допустимые (возможные) отклонения, предусмотренные в пунктах 3.1 и 3.2 настоящего муниципального задания, не заполняются. </w:t>
      </w:r>
    </w:p>
    <w:p>
      <w:pPr>
        <w:pStyle w:val="ConsPlusNormal"/>
        <w:jc w:val="right"/>
        <w:rPr>
          <w:rFonts w:ascii="Times New Roman" w:hAnsi="Times New Roman" w:cs="Times New Roman"/>
          <w:sz w:val="20"/>
        </w:rPr>
      </w:pPr>
      <w:r>
        <w:rPr>
          <w:rFonts w:cs="Times New Roman" w:ascii="Times New Roman" w:hAnsi="Times New Roman"/>
          <w:sz w:val="20"/>
        </w:rPr>
        <w:t>Приложение № 2</w:t>
      </w:r>
    </w:p>
    <w:p>
      <w:pPr>
        <w:pStyle w:val="ConsPlusNormal"/>
        <w:jc w:val="right"/>
        <w:rPr>
          <w:rFonts w:ascii="Times New Roman" w:hAnsi="Times New Roman" w:cs="Times New Roman"/>
          <w:sz w:val="20"/>
        </w:rPr>
      </w:pPr>
      <w:r>
        <w:rPr>
          <w:rFonts w:cs="Times New Roman" w:ascii="Times New Roman" w:hAnsi="Times New Roman"/>
          <w:sz w:val="20"/>
        </w:rPr>
        <w:t>к Положению</w:t>
      </w:r>
    </w:p>
    <w:p>
      <w:pPr>
        <w:pStyle w:val="ConsPlusNormal"/>
        <w:jc w:val="right"/>
        <w:rPr>
          <w:rFonts w:ascii="Times New Roman" w:hAnsi="Times New Roman" w:cs="Times New Roman"/>
          <w:sz w:val="20"/>
        </w:rPr>
      </w:pPr>
      <w:r>
        <w:rPr>
          <w:rFonts w:cs="Times New Roman" w:ascii="Times New Roman" w:hAnsi="Times New Roman"/>
          <w:sz w:val="20"/>
        </w:rPr>
      </w:r>
    </w:p>
    <w:p>
      <w:pPr>
        <w:pStyle w:val="ConsPlusNormal"/>
        <w:ind w:left="2124" w:firstLine="708"/>
        <w:jc w:val="center"/>
        <w:rPr>
          <w:rFonts w:ascii="Times New Roman" w:hAnsi="Times New Roman" w:cs="Times New Roman"/>
          <w:sz w:val="20"/>
        </w:rPr>
      </w:pPr>
      <w:r>
        <w:rPr>
          <w:rFonts w:cs="Times New Roman" w:ascii="Times New Roman" w:hAnsi="Times New Roman"/>
          <w:sz w:val="20"/>
        </w:rPr>
        <w:t>УТВЕРЖДАЮ</w:t>
      </w:r>
    </w:p>
    <w:p>
      <w:pPr>
        <w:pStyle w:val="ConsPlusNormal"/>
        <w:jc w:val="right"/>
        <w:rPr>
          <w:rFonts w:ascii="Times New Roman" w:hAnsi="Times New Roman" w:cs="Times New Roman"/>
          <w:sz w:val="20"/>
        </w:rPr>
      </w:pPr>
      <w:r>
        <w:rPr>
          <w:rFonts w:cs="Times New Roman" w:ascii="Times New Roman" w:hAnsi="Times New Roman"/>
          <w:sz w:val="20"/>
        </w:rPr>
      </w:r>
    </w:p>
    <w:p>
      <w:pPr>
        <w:pStyle w:val="ConsPlusNormal"/>
        <w:ind w:left="5664" w:hanging="0"/>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 xml:space="preserve">Руководитель </w:t>
      </w:r>
    </w:p>
    <w:p>
      <w:pPr>
        <w:pStyle w:val="ConsPlusNormal"/>
        <w:ind w:left="4956" w:firstLine="708"/>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(уполномоченное лицо)</w:t>
      </w:r>
    </w:p>
    <w:p>
      <w:pPr>
        <w:pStyle w:val="ConsPlusNormal"/>
        <w:ind w:left="4956" w:firstLine="708"/>
        <w:jc w:val="center"/>
        <w:rPr>
          <w:rFonts w:ascii="Times New Roman" w:hAnsi="Times New Roman" w:cs="Times New Roman"/>
          <w:sz w:val="20"/>
        </w:rPr>
      </w:pPr>
      <w:r>
        <w:rPr>
          <w:rFonts w:cs="Times New Roman" w:ascii="Times New Roman" w:hAnsi="Times New Roman"/>
          <w:sz w:val="20"/>
        </w:rPr>
        <w:t>_________________________________________</w:t>
      </w:r>
    </w:p>
    <w:p>
      <w:pPr>
        <w:pStyle w:val="ConsPlusNormal"/>
        <w:ind w:left="5664" w:hanging="0"/>
        <w:jc w:val="center"/>
        <w:rPr>
          <w:rFonts w:ascii="Times New Roman" w:hAnsi="Times New Roman" w:cs="Times New Roman"/>
          <w:sz w:val="18"/>
          <w:szCs w:val="18"/>
        </w:rPr>
      </w:pPr>
      <w:r>
        <w:rPr>
          <w:rFonts w:cs="Times New Roman" w:ascii="Times New Roman" w:hAnsi="Times New Roman"/>
          <w:sz w:val="18"/>
          <w:szCs w:val="18"/>
        </w:rPr>
        <w:t xml:space="preserve">(наименование органа, осуществляющего </w:t>
      </w:r>
    </w:p>
    <w:p>
      <w:pPr>
        <w:pStyle w:val="ConsPlusNormal"/>
        <w:ind w:left="5664" w:hanging="0"/>
        <w:jc w:val="center"/>
        <w:rPr>
          <w:rFonts w:ascii="Times New Roman" w:hAnsi="Times New Roman" w:cs="Times New Roman"/>
          <w:sz w:val="18"/>
          <w:szCs w:val="18"/>
        </w:rPr>
      </w:pPr>
      <w:r>
        <w:rPr>
          <w:rFonts w:cs="Times New Roman" w:ascii="Times New Roman" w:hAnsi="Times New Roman"/>
          <w:sz w:val="18"/>
          <w:szCs w:val="18"/>
        </w:rPr>
        <w:t xml:space="preserve">функции и полномочия учредителя, главного распорядителя средств бюджета города, </w:t>
      </w:r>
    </w:p>
    <w:p>
      <w:pPr>
        <w:pStyle w:val="ConsPlusNormal"/>
        <w:ind w:left="5664" w:hanging="0"/>
        <w:jc w:val="center"/>
        <w:rPr>
          <w:rFonts w:ascii="Times New Roman" w:hAnsi="Times New Roman" w:cs="Times New Roman"/>
          <w:sz w:val="18"/>
          <w:szCs w:val="18"/>
        </w:rPr>
      </w:pPr>
      <w:r>
        <w:rPr>
          <w:rFonts w:cs="Times New Roman" w:ascii="Times New Roman" w:hAnsi="Times New Roman"/>
          <w:sz w:val="18"/>
          <w:szCs w:val="18"/>
        </w:rPr>
        <w:t>муниципального учреждения)</w:t>
      </w:r>
    </w:p>
    <w:p>
      <w:pPr>
        <w:pStyle w:val="ConsPlusNormal"/>
        <w:jc w:val="right"/>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______________   __________      _______________</w:t>
      </w:r>
    </w:p>
    <w:p>
      <w:pPr>
        <w:pStyle w:val="Normal"/>
        <w:ind w:right="-115" w:hanging="0"/>
        <w:rPr>
          <w:rFonts w:ascii="Times New Roman" w:hAnsi="Times New Roman" w:cs="Times New Roman"/>
          <w:sz w:val="18"/>
          <w:szCs w:val="18"/>
        </w:rPr>
      </w:pPr>
      <w:r>
        <w:rPr/>
        <w:t xml:space="preserve">   </w:t>
      </w:r>
      <w:r>
        <w:rPr/>
        <w:tab/>
        <w:tab/>
        <w:t xml:space="preserve">                                     </w:t>
        <w:tab/>
        <w:tab/>
        <w:tab/>
      </w:r>
      <w:r>
        <w:rPr>
          <w:rFonts w:cs="Times New Roman" w:ascii="Times New Roman" w:hAnsi="Times New Roman"/>
          <w:sz w:val="18"/>
          <w:szCs w:val="18"/>
        </w:rPr>
        <w:t xml:space="preserve">                          (должность)         (подпись)        (расшифровка подписи)</w:t>
      </w:r>
    </w:p>
    <w:p>
      <w:pPr>
        <w:pStyle w:val="Normal"/>
        <w:ind w:right="-115" w:hanging="0"/>
        <w:rPr>
          <w:rFonts w:ascii="Times New Roman" w:hAnsi="Times New Roman" w:cs="Times New Roman"/>
          <w:sz w:val="20"/>
          <w:szCs w:val="20"/>
        </w:rPr>
      </w:pPr>
      <w:r>
        <w:rPr>
          <w:rFonts w:cs="Times New Roman" w:ascii="Times New Roman" w:hAnsi="Times New Roman"/>
          <w:sz w:val="18"/>
          <w:szCs w:val="18"/>
        </w:rPr>
        <w:tab/>
        <w:tab/>
        <w:tab/>
        <w:tab/>
        <w:tab/>
        <w:tab/>
        <w:tab/>
        <w:tab/>
        <w:tab/>
      </w:r>
      <w:r>
        <w:rPr>
          <w:rFonts w:cs="Times New Roman" w:ascii="Times New Roman" w:hAnsi="Times New Roman"/>
          <w:sz w:val="20"/>
          <w:szCs w:val="20"/>
        </w:rPr>
        <w:t>«____»  ________________  20___ г.</w:t>
      </w:r>
    </w:p>
    <w:p>
      <w:pPr>
        <w:pStyle w:val="ConsPlusNormal"/>
        <w:jc w:val="right"/>
        <w:rPr>
          <w:rFonts w:ascii="Times New Roman" w:hAnsi="Times New Roman" w:cs="Times New Roman"/>
          <w:sz w:val="20"/>
        </w:rPr>
      </w:pPr>
      <w:r>
        <w:rPr>
          <w:rFonts w:cs="Times New Roman" w:ascii="Times New Roman" w:hAnsi="Times New Roman"/>
          <w:sz w:val="20"/>
        </w:rPr>
      </w:r>
    </w:p>
    <w:p>
      <w:pPr>
        <w:pStyle w:val="ConsPlusNormal"/>
        <w:rPr>
          <w:rFonts w:ascii="Times New Roman" w:hAnsi="Times New Roman" w:cs="Times New Roman"/>
          <w:sz w:val="20"/>
        </w:rPr>
      </w:pPr>
      <w:r>
        <w:rPr>
          <w:rFonts w:cs="Times New Roman" w:ascii="Times New Roman" w:hAnsi="Times New Roman"/>
          <w:sz w:val="20"/>
        </w:rPr>
      </w:r>
    </w:p>
    <w:p>
      <w:pPr>
        <w:pStyle w:val="ConsPlusNonformat"/>
        <w:jc w:val="both"/>
        <w:rPr>
          <w:sz w:val="20"/>
          <w:szCs w:val="20"/>
        </w:rPr>
      </w:pPr>
      <w:r>
        <w:rPr/>
        <w:t xml:space="preserve">                                        </w:t>
      </w:r>
    </w:p>
    <w:p>
      <w:pPr>
        <w:pStyle w:val="ConsPlusNonformat"/>
        <w:jc w:val="center"/>
        <w:rPr>
          <w:rFonts w:ascii="Times New Roman" w:hAnsi="Times New Roman" w:cs="Times New Roman"/>
        </w:rPr>
      </w:pPr>
      <w:r>
        <w:rPr>
          <w:rFonts w:cs="Times New Roman" w:ascii="Times New Roman" w:hAnsi="Times New Roman"/>
        </w:rPr>
        <w:t>ОТЧЕТ ОБ ИСПОЛНЕНИИ</w:t>
      </w:r>
    </w:p>
    <w:p>
      <w:pPr>
        <w:pStyle w:val="ConsPlusNonformat"/>
        <w:jc w:val="center"/>
        <w:rPr>
          <w:rFonts w:ascii="Times New Roman" w:hAnsi="Times New Roman" w:cs="Times New Roman"/>
        </w:rPr>
      </w:pPr>
      <w:r>
        <w:rPr>
          <w:rFonts w:cs="Times New Roman" w:ascii="Times New Roman" w:hAnsi="Times New Roman"/>
        </w:rPr>
        <w:t xml:space="preserve">МУНИЦИПАЛЬНОГО ЗАДАНИЯ  </w:t>
      </w:r>
    </w:p>
    <w:p>
      <w:pPr>
        <w:pStyle w:val="Normal"/>
        <w:spacing w:before="0" w:after="0"/>
        <w:contextualSpacing/>
        <w:jc w:val="center"/>
        <w:rPr>
          <w:rFonts w:ascii="Times New Roman" w:hAnsi="Times New Roman" w:cs="Times New Roman"/>
          <w:sz w:val="20"/>
          <w:szCs w:val="20"/>
        </w:rPr>
      </w:pPr>
      <w:r>
        <w:rPr>
          <w:rFonts w:cs="Times New Roman" w:ascii="Times New Roman" w:hAnsi="Times New Roman"/>
          <w:sz w:val="20"/>
          <w:szCs w:val="20"/>
        </w:rPr>
      </w:r>
    </w:p>
    <w:p>
      <w:pPr>
        <w:pStyle w:val="Normal"/>
        <w:spacing w:before="0" w:after="0"/>
        <w:contextualSpacing/>
        <w:jc w:val="center"/>
        <w:rPr>
          <w:rFonts w:ascii="Times New Roman" w:hAnsi="Times New Roman" w:cs="Times New Roman"/>
          <w:sz w:val="20"/>
          <w:szCs w:val="20"/>
        </w:rPr>
      </w:pPr>
      <w:r>
        <w:rPr>
          <w:rFonts w:cs="Times New Roman" w:ascii="Times New Roman" w:hAnsi="Times New Roman"/>
          <w:sz w:val="20"/>
          <w:szCs w:val="20"/>
        </w:rPr>
        <w:t>на 20 __ год и плановый период 20 __ и 20 __ годов</w:t>
      </w:r>
    </w:p>
    <w:tbl>
      <w:tblPr>
        <w:tblStyle w:val="a6"/>
        <w:tblpPr w:vertAnchor="text" w:horzAnchor="text" w:tblpXSpec="right" w:leftFromText="180" w:rightFromText="180" w:tblpY="1"/>
        <w:tblW w:w="2835" w:type="dxa"/>
        <w:jc w:val="right"/>
        <w:tblInd w:w="0" w:type="dxa"/>
        <w:tblLayout w:type="fixed"/>
        <w:tblCellMar>
          <w:top w:w="0" w:type="dxa"/>
          <w:left w:w="108" w:type="dxa"/>
          <w:bottom w:w="0" w:type="dxa"/>
          <w:right w:w="108" w:type="dxa"/>
        </w:tblCellMar>
        <w:tblLook w:val="04a0"/>
      </w:tblPr>
      <w:tblGrid>
        <w:gridCol w:w="1499"/>
        <w:gridCol w:w="1335"/>
      </w:tblGrid>
      <w:tr>
        <w:trPr/>
        <w:tc>
          <w:tcPr>
            <w:tcW w:w="1499" w:type="dxa"/>
            <w:vMerge w:val="restart"/>
            <w:tcBorders>
              <w:top w:val="nil"/>
              <w:left w:val="nil"/>
            </w:tcBorders>
          </w:tcPr>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t>Форма по ОКУД</w:t>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t>Дата</w:t>
            </w:r>
          </w:p>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t>по Сводному реестру</w:t>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t xml:space="preserve">      </w:t>
            </w:r>
            <w:r>
              <w:rPr>
                <w:rFonts w:eastAsia="Calibri" w:cs="Times New Roman" w:ascii="Times New Roman" w:hAnsi="Times New Roman"/>
                <w:kern w:val="0"/>
                <w:sz w:val="20"/>
                <w:szCs w:val="20"/>
                <w:lang w:val="ru-RU" w:eastAsia="ru-RU" w:bidi="ar-SA"/>
              </w:rPr>
              <w:t>по ОКВЭД</w:t>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t>по ОКВЭД</w:t>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t>по ОКВЭД</w:t>
            </w:r>
          </w:p>
        </w:tc>
        <w:tc>
          <w:tcPr>
            <w:tcW w:w="1335" w:type="dxa"/>
            <w:tcBorders/>
          </w:tcPr>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t>Коды</w:t>
            </w:r>
          </w:p>
        </w:tc>
      </w:tr>
      <w:tr>
        <w:trPr/>
        <w:tc>
          <w:tcPr>
            <w:tcW w:w="1499" w:type="dxa"/>
            <w:vMerge w:val="continue"/>
            <w:tcBorders>
              <w:left w:val="nil"/>
            </w:tcBorders>
          </w:tcPr>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tc>
        <w:tc>
          <w:tcPr>
            <w:tcW w:w="1335" w:type="dxa"/>
            <w:tcBorders/>
          </w:tcPr>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t>0506001</w:t>
            </w:r>
          </w:p>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tc>
      </w:tr>
      <w:tr>
        <w:trPr/>
        <w:tc>
          <w:tcPr>
            <w:tcW w:w="1499" w:type="dxa"/>
            <w:vMerge w:val="continue"/>
            <w:tcBorders>
              <w:left w:val="nil"/>
            </w:tcBorders>
          </w:tcPr>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tc>
        <w:tc>
          <w:tcPr>
            <w:tcW w:w="1335" w:type="dxa"/>
            <w:tcBorders/>
          </w:tcPr>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tc>
      </w:tr>
      <w:tr>
        <w:trPr>
          <w:trHeight w:val="562" w:hRule="atLeast"/>
        </w:trPr>
        <w:tc>
          <w:tcPr>
            <w:tcW w:w="1499" w:type="dxa"/>
            <w:vMerge w:val="continue"/>
            <w:tcBorders>
              <w:left w:val="nil"/>
            </w:tcBorders>
          </w:tcPr>
          <w:p>
            <w:pPr>
              <w:pStyle w:val="Normal"/>
              <w:widowControl/>
              <w:spacing w:lineRule="auto" w:line="240" w:before="0" w:after="0"/>
              <w:jc w:val="left"/>
              <w:rPr>
                <w:rFonts w:ascii="Times New Roman" w:hAnsi="Times New Roman"/>
              </w:rPr>
            </w:pPr>
            <w:r>
              <w:rPr>
                <w:rFonts w:eastAsia="Calibri" w:cs="Times New Roman" w:ascii="Times New Roman" w:hAnsi="Times New Roman"/>
                <w:kern w:val="0"/>
                <w:sz w:val="20"/>
                <w:szCs w:val="20"/>
                <w:lang w:val="ru-RU" w:eastAsia="ru-RU" w:bidi="ar-SA"/>
              </w:rPr>
            </w:r>
          </w:p>
        </w:tc>
        <w:tc>
          <w:tcPr>
            <w:tcW w:w="1335" w:type="dxa"/>
            <w:tcBorders/>
          </w:tcPr>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tc>
      </w:tr>
      <w:tr>
        <w:trPr>
          <w:trHeight w:val="540" w:hRule="atLeast"/>
        </w:trPr>
        <w:tc>
          <w:tcPr>
            <w:tcW w:w="1499" w:type="dxa"/>
            <w:vMerge w:val="continue"/>
            <w:tcBorders>
              <w:left w:val="nil"/>
            </w:tcBorders>
          </w:tcPr>
          <w:p>
            <w:pPr>
              <w:pStyle w:val="Normal"/>
              <w:widowControl/>
              <w:spacing w:lineRule="auto" w:line="240" w:before="0" w:after="0"/>
              <w:jc w:val="left"/>
              <w:rPr>
                <w:sz w:val="20"/>
                <w:szCs w:val="20"/>
              </w:rPr>
            </w:pPr>
            <w:r>
              <w:rPr>
                <w:rFonts w:eastAsia="Calibri" w:cs="Times New Roman"/>
                <w:kern w:val="0"/>
                <w:sz w:val="20"/>
                <w:szCs w:val="20"/>
                <w:lang w:val="ru-RU" w:eastAsia="ru-RU" w:bidi="ar-SA"/>
              </w:rPr>
            </w:r>
          </w:p>
        </w:tc>
        <w:tc>
          <w:tcPr>
            <w:tcW w:w="1335" w:type="dxa"/>
            <w:tcBorders/>
          </w:tcPr>
          <w:p>
            <w:pPr>
              <w:pStyle w:val="Normal"/>
              <w:widowControl/>
              <w:spacing w:lineRule="auto" w:line="240" w:before="0" w:after="0"/>
              <w:jc w:val="center"/>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center"/>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center"/>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center"/>
              <w:rPr>
                <w:rFonts w:ascii="Times New Roman" w:hAnsi="Times New Roman"/>
              </w:rPr>
            </w:pPr>
            <w:r>
              <w:rPr>
                <w:rFonts w:eastAsia="Calibri" w:cs="Times New Roman" w:ascii="Times New Roman" w:hAnsi="Times New Roman"/>
                <w:kern w:val="0"/>
                <w:sz w:val="20"/>
                <w:szCs w:val="20"/>
                <w:lang w:val="ru-RU" w:eastAsia="ru-RU" w:bidi="ar-SA"/>
              </w:rPr>
            </w:r>
          </w:p>
        </w:tc>
      </w:tr>
      <w:tr>
        <w:trPr>
          <w:trHeight w:val="422" w:hRule="atLeast"/>
        </w:trPr>
        <w:tc>
          <w:tcPr>
            <w:tcW w:w="1499" w:type="dxa"/>
            <w:vMerge w:val="continue"/>
            <w:tcBorders>
              <w:left w:val="nil"/>
            </w:tcBorders>
          </w:tcPr>
          <w:p>
            <w:pPr>
              <w:pStyle w:val="Normal"/>
              <w:widowControl/>
              <w:spacing w:lineRule="auto" w:line="240" w:before="0" w:after="0"/>
              <w:jc w:val="left"/>
              <w:rPr>
                <w:sz w:val="20"/>
                <w:szCs w:val="20"/>
              </w:rPr>
            </w:pPr>
            <w:r>
              <w:rPr>
                <w:rFonts w:eastAsia="Calibri" w:cs="Times New Roman"/>
                <w:kern w:val="0"/>
                <w:sz w:val="20"/>
                <w:szCs w:val="20"/>
                <w:lang w:val="ru-RU" w:eastAsia="ru-RU" w:bidi="ar-SA"/>
              </w:rPr>
            </w:r>
          </w:p>
        </w:tc>
        <w:tc>
          <w:tcPr>
            <w:tcW w:w="1335" w:type="dxa"/>
            <w:tcBorders/>
          </w:tcPr>
          <w:p>
            <w:pPr>
              <w:pStyle w:val="Normal"/>
              <w:widowControl/>
              <w:spacing w:lineRule="auto" w:line="240" w:before="0" w:after="0"/>
              <w:jc w:val="center"/>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center"/>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center"/>
              <w:rPr>
                <w:rFonts w:ascii="Times New Roman" w:hAnsi="Times New Roman"/>
              </w:rPr>
            </w:pPr>
            <w:r>
              <w:rPr>
                <w:rFonts w:eastAsia="Calibri" w:cs="Times New Roman" w:ascii="Times New Roman" w:hAnsi="Times New Roman"/>
                <w:kern w:val="0"/>
                <w:sz w:val="20"/>
                <w:szCs w:val="20"/>
                <w:lang w:val="ru-RU" w:eastAsia="ru-RU" w:bidi="ar-SA"/>
              </w:rPr>
            </w:r>
          </w:p>
        </w:tc>
      </w:tr>
      <w:tr>
        <w:trPr>
          <w:trHeight w:val="525" w:hRule="atLeast"/>
        </w:trPr>
        <w:tc>
          <w:tcPr>
            <w:tcW w:w="1499" w:type="dxa"/>
            <w:vMerge w:val="continue"/>
            <w:tcBorders>
              <w:left w:val="nil"/>
            </w:tcBorders>
          </w:tcPr>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tc>
        <w:tc>
          <w:tcPr>
            <w:tcW w:w="1335" w:type="dxa"/>
            <w:tcBorders/>
          </w:tcPr>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tc>
      </w:tr>
      <w:tr>
        <w:trPr>
          <w:trHeight w:val="645" w:hRule="atLeast"/>
        </w:trPr>
        <w:tc>
          <w:tcPr>
            <w:tcW w:w="1499" w:type="dxa"/>
            <w:vMerge w:val="continue"/>
            <w:tcBorders>
              <w:left w:val="nil"/>
            </w:tcBorders>
          </w:tcPr>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tc>
        <w:tc>
          <w:tcPr>
            <w:tcW w:w="1335" w:type="dxa"/>
            <w:tcBorders/>
          </w:tcPr>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tc>
      </w:tr>
      <w:tr>
        <w:trPr>
          <w:trHeight w:val="655" w:hRule="atLeast"/>
        </w:trPr>
        <w:tc>
          <w:tcPr>
            <w:tcW w:w="1499" w:type="dxa"/>
            <w:vMerge w:val="continue"/>
            <w:tcBorders>
              <w:left w:val="nil"/>
              <w:bottom w:val="nil"/>
            </w:tcBorders>
          </w:tcPr>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tc>
        <w:tc>
          <w:tcPr>
            <w:tcW w:w="1335" w:type="dxa"/>
            <w:tcBorders/>
          </w:tcPr>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p>
            <w:pPr>
              <w:pStyle w:val="Normal"/>
              <w:widowControl/>
              <w:spacing w:lineRule="auto" w:line="240" w:before="0" w:after="0"/>
              <w:jc w:val="right"/>
              <w:rPr>
                <w:rFonts w:ascii="Times New Roman" w:hAnsi="Times New Roman"/>
              </w:rPr>
            </w:pPr>
            <w:r>
              <w:rPr>
                <w:rFonts w:eastAsia="Calibri" w:cs="Times New Roman" w:ascii="Times New Roman" w:hAnsi="Times New Roman"/>
                <w:kern w:val="0"/>
                <w:sz w:val="20"/>
                <w:szCs w:val="20"/>
                <w:lang w:val="ru-RU" w:eastAsia="ru-RU" w:bidi="ar-SA"/>
              </w:rPr>
            </w:r>
          </w:p>
        </w:tc>
      </w:tr>
    </w:tbl>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left="2124" w:firstLine="708"/>
        <w:jc w:val="center"/>
        <w:rPr>
          <w:rFonts w:ascii="Times New Roman" w:hAnsi="Times New Roman" w:cs="Times New Roman"/>
          <w:sz w:val="20"/>
          <w:szCs w:val="20"/>
        </w:rPr>
      </w:pPr>
      <w:r>
        <w:rPr>
          <w:rFonts w:cs="Times New Roman" w:ascii="Times New Roman" w:hAnsi="Times New Roman"/>
          <w:sz w:val="20"/>
          <w:szCs w:val="20"/>
        </w:rPr>
        <w:t>От «____»_______________ 20 ___ г.</w:t>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t>Наименование</w:t>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t>муниципального учреждения</w:t>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t>(обособленного подразделения)               ____________________________________</w:t>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t>Вид деятельности муниципального учреждения</w:t>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t xml:space="preserve">(обособленного подразделения)        </w:t>
        <w:tab/>
        <w:t>___________________________________</w:t>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tab/>
        <w:tab/>
        <w:tab/>
        <w:tab/>
        <w:tab/>
        <w:t>___________________________________</w:t>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r>
    </w:p>
    <w:p>
      <w:pPr>
        <w:pStyle w:val="Normal"/>
        <w:spacing w:before="0" w:after="0"/>
        <w:contextualSpacing/>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w:t>
      </w:r>
    </w:p>
    <w:p>
      <w:pPr>
        <w:pStyle w:val="Normal"/>
        <w:tabs>
          <w:tab w:val="clear" w:pos="708"/>
          <w:tab w:val="left" w:pos="1635" w:leader="none"/>
        </w:tabs>
        <w:spacing w:before="0" w:after="0"/>
        <w:contextual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(указывается вид деятельности муниципального учреждения</w:t>
      </w:r>
    </w:p>
    <w:p>
      <w:pPr>
        <w:pStyle w:val="Normal"/>
        <w:tabs>
          <w:tab w:val="clear" w:pos="708"/>
          <w:tab w:val="left" w:pos="1635" w:leader="none"/>
        </w:tabs>
        <w:spacing w:before="0" w:after="0"/>
        <w:contextual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из базового (отраслевого) перечня)</w:t>
      </w:r>
    </w:p>
    <w:p>
      <w:pPr>
        <w:pStyle w:val="Normal"/>
        <w:tabs>
          <w:tab w:val="clear" w:pos="708"/>
          <w:tab w:val="left" w:pos="1635" w:leader="none"/>
        </w:tabs>
        <w:spacing w:before="0" w:after="0"/>
        <w:contextualSpacing/>
        <w:rPr>
          <w:rFonts w:ascii="Times New Roman" w:hAnsi="Times New Roman" w:cs="Times New Roman"/>
          <w:sz w:val="20"/>
          <w:szCs w:val="20"/>
        </w:rPr>
      </w:pPr>
      <w:r>
        <w:rPr>
          <w:rFonts w:cs="Times New Roman" w:ascii="Times New Roman" w:hAnsi="Times New Roman"/>
          <w:sz w:val="20"/>
          <w:szCs w:val="20"/>
        </w:rPr>
        <w:t>Периодичность_________________________________________________________</w:t>
      </w:r>
    </w:p>
    <w:p>
      <w:pPr>
        <w:pStyle w:val="Normal"/>
        <w:tabs>
          <w:tab w:val="clear" w:pos="708"/>
          <w:tab w:val="left" w:pos="1635" w:leader="none"/>
        </w:tabs>
        <w:spacing w:before="0" w:after="0"/>
        <w:contextualSpacing/>
        <w:rPr>
          <w:rFonts w:ascii="Times New Roman" w:hAnsi="Times New Roman" w:cs="Times New Roman"/>
          <w:strike/>
          <w:sz w:val="20"/>
          <w:szCs w:val="20"/>
        </w:rPr>
      </w:pPr>
      <w:r>
        <w:rPr>
          <w:rFonts w:cs="Times New Roman" w:ascii="Times New Roman" w:hAnsi="Times New Roman"/>
          <w:sz w:val="20"/>
          <w:szCs w:val="20"/>
        </w:rPr>
        <w:t>(указывается в соответствии с периодичностью предоставления отчета об исполнении муниципального задания,  установленной в муниципальном задании)</w:t>
        <w:br/>
      </w:r>
    </w:p>
    <w:p>
      <w:pPr>
        <w:pStyle w:val="Normal"/>
        <w:tabs>
          <w:tab w:val="clear" w:pos="708"/>
          <w:tab w:val="left" w:pos="1635" w:leader="none"/>
        </w:tabs>
        <w:spacing w:before="0" w:after="0"/>
        <w:contextualSpacing/>
        <w:jc w:val="center"/>
        <w:rPr>
          <w:rFonts w:ascii="Times New Roman" w:hAnsi="Times New Roman" w:cs="Times New Roman"/>
          <w:sz w:val="20"/>
          <w:szCs w:val="20"/>
          <w:vertAlign w:val="superscript"/>
        </w:rPr>
      </w:pPr>
      <w:r>
        <w:rPr>
          <w:rFonts w:cs="Times New Roman" w:ascii="Times New Roman" w:hAnsi="Times New Roman"/>
          <w:sz w:val="20"/>
          <w:szCs w:val="20"/>
        </w:rPr>
        <w:t xml:space="preserve">Часть 1. Сведения об оказываемых муниципальных услугах </w:t>
      </w:r>
      <w:r>
        <w:rPr>
          <w:rFonts w:cs="Times New Roman" w:ascii="Times New Roman" w:hAnsi="Times New Roman"/>
          <w:sz w:val="20"/>
          <w:szCs w:val="20"/>
          <w:vertAlign w:val="superscript"/>
        </w:rPr>
        <w:t>1)</w:t>
      </w:r>
    </w:p>
    <w:p>
      <w:pPr>
        <w:pStyle w:val="Normal"/>
        <w:tabs>
          <w:tab w:val="clear" w:pos="708"/>
          <w:tab w:val="left" w:pos="1635" w:leader="none"/>
        </w:tabs>
        <w:spacing w:before="0" w:after="0"/>
        <w:contextualSpacing/>
        <w:jc w:val="center"/>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1635" w:leader="none"/>
        </w:tabs>
        <w:spacing w:before="0" w:after="0"/>
        <w:contextualSpacing/>
        <w:jc w:val="center"/>
        <w:rPr>
          <w:rFonts w:ascii="Times New Roman" w:hAnsi="Times New Roman" w:cs="Times New Roman"/>
          <w:sz w:val="20"/>
          <w:szCs w:val="20"/>
        </w:rPr>
      </w:pPr>
      <w:r>
        <w:rPr>
          <w:rFonts w:cs="Times New Roman" w:ascii="Times New Roman" w:hAnsi="Times New Roman"/>
          <w:sz w:val="20"/>
          <w:szCs w:val="20"/>
        </w:rPr>
        <w:t>Раздел ____</w:t>
      </w:r>
    </w:p>
    <w:p>
      <w:pPr>
        <w:pStyle w:val="Normal"/>
        <w:tabs>
          <w:tab w:val="clear" w:pos="708"/>
          <w:tab w:val="left" w:pos="1635" w:leader="none"/>
        </w:tabs>
        <w:spacing w:before="0" w:after="0"/>
        <w:contextualSpacing/>
        <w:jc w:val="center"/>
        <w:rPr>
          <w:rFonts w:ascii="Times New Roman" w:hAnsi="Times New Roman" w:cs="Times New Roman"/>
          <w:sz w:val="20"/>
          <w:szCs w:val="20"/>
        </w:rPr>
      </w:pPr>
      <w:r>
        <w:rPr>
          <w:rFonts w:cs="Times New Roman" w:ascii="Times New Roman" w:hAnsi="Times New Roman"/>
          <w:sz w:val="20"/>
          <w:szCs w:val="20"/>
        </w:rPr>
        <mc:AlternateContent>
          <mc:Choice Requires="wps">
            <w:drawing>
              <wp:anchor behindDoc="0" distT="0" distB="0" distL="114300" distR="114300" simplePos="0" locked="0" layoutInCell="0" allowOverlap="1" relativeHeight="14">
                <wp:simplePos x="0" y="0"/>
                <wp:positionH relativeFrom="column">
                  <wp:posOffset>5786120</wp:posOffset>
                </wp:positionH>
                <wp:positionV relativeFrom="paragraph">
                  <wp:posOffset>145415</wp:posOffset>
                </wp:positionV>
                <wp:extent cx="850900" cy="1012190"/>
                <wp:effectExtent l="0" t="0" r="0" b="0"/>
                <wp:wrapNone/>
                <wp:docPr id="16" name=""/>
                <a:graphic xmlns:a="http://schemas.openxmlformats.org/drawingml/2006/main">
                  <a:graphicData uri="http://schemas.microsoft.com/office/word/2010/wordprocessingShape">
                    <wps:wsp>
                      <wps:cNvSpPr/>
                      <wps:nvSpPr>
                        <wps:cNvPr id="8" name="Rectangle 1"/>
                        <wps:cNvSpPr/>
                      </wps:nvSpPr>
                      <wps:spPr>
                        <a:xfrm>
                          <a:off x="0" y="0"/>
                          <a:ext cx="850320" cy="1011600"/>
                        </a:xfrm>
                        <a:prstGeom prst="rect">
                          <a:avLst/>
                        </a:prstGeom>
                        <a:solidFill>
                          <a:srgbClr val="ffffff"/>
                        </a:solidFill>
                        <a:ln w="0">
                          <a:solidFill>
                            <a:srgbClr val="000000"/>
                          </a:solidFill>
                        </a:ln>
                      </wps:spPr>
                      <wps:bodyPr/>
                    </wps:wsp>
                  </a:graphicData>
                </a:graphic>
              </wp:anchor>
            </w:drawing>
          </mc:Choice>
          <mc:Fallback>
            <w:pict>
              <v:rect id="shape_0" fillcolor="white" stroked="t" style="position:absolute;margin-left:455.6pt;margin-top:11.45pt;width:66.9pt;height:79.6pt;mso-wrap-style:none;v-text-anchor:middle">
                <v:fill o:detectmouseclick="t" type="solid" color2="black"/>
                <v:stroke color="black" joinstyle="round" endcap="flat"/>
                <w10:wrap type="none"/>
              </v:rect>
            </w:pict>
          </mc:Fallback>
        </mc:AlternateContent>
      </w:r>
    </w:p>
    <w:p>
      <w:pPr>
        <w:pStyle w:val="Normal"/>
        <w:tabs>
          <w:tab w:val="clear" w:pos="708"/>
          <w:tab w:val="left" w:pos="1770" w:leader="none"/>
        </w:tabs>
        <w:spacing w:before="0" w:after="0"/>
        <w:contextualSpacing/>
        <w:rPr>
          <w:rFonts w:ascii="Times New Roman" w:hAnsi="Times New Roman" w:cs="Times New Roman"/>
          <w:sz w:val="20"/>
          <w:szCs w:val="20"/>
        </w:rPr>
      </w:pPr>
      <w:r>
        <w:rPr>
          <w:rFonts w:cs="Times New Roman" w:ascii="Times New Roman" w:hAnsi="Times New Roman"/>
          <w:sz w:val="20"/>
          <w:szCs w:val="20"/>
        </w:rPr>
        <w:t xml:space="preserve">1. Наименование                                                                 </w:t>
        <w:tab/>
        <w:tab/>
        <w:tab/>
        <w:t xml:space="preserve">        Код по общероссийскому </w:t>
      </w:r>
    </w:p>
    <w:p>
      <w:pPr>
        <w:pStyle w:val="Normal"/>
        <w:tabs>
          <w:tab w:val="clear" w:pos="708"/>
          <w:tab w:val="left" w:pos="1770" w:leader="none"/>
        </w:tabs>
        <w:spacing w:before="0" w:after="0"/>
        <w:contextual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базовому (отраслевому)</w:t>
      </w:r>
      <w:r>
        <w:rPr>
          <w:rFonts w:cs="Times New Roman" w:ascii="Times New Roman" w:hAnsi="Times New Roman"/>
          <w:sz w:val="20"/>
          <w:szCs w:val="20"/>
          <w:vertAlign w:val="superscript"/>
        </w:rPr>
        <w:t>2)</w:t>
      </w:r>
    </w:p>
    <w:p>
      <w:pPr>
        <w:pStyle w:val="Normal"/>
        <w:tabs>
          <w:tab w:val="clear" w:pos="708"/>
          <w:tab w:val="left" w:pos="1770" w:leader="none"/>
        </w:tabs>
        <w:spacing w:before="0" w:after="0"/>
        <w:contextualSpacing/>
        <w:rPr>
          <w:rFonts w:ascii="Times New Roman" w:hAnsi="Times New Roman" w:cs="Times New Roman"/>
          <w:sz w:val="20"/>
          <w:szCs w:val="20"/>
        </w:rPr>
      </w:pPr>
      <w:r>
        <w:rPr>
          <w:rFonts w:cs="Times New Roman" w:ascii="Times New Roman" w:hAnsi="Times New Roman"/>
          <w:sz w:val="20"/>
          <w:szCs w:val="20"/>
        </w:rPr>
        <w:t xml:space="preserve">муниципальной услуги ________________________________________  </w:t>
        <w:tab/>
        <w:t xml:space="preserve">                 или региональному</w:t>
      </w:r>
      <w:r>
        <w:rPr>
          <w:rFonts w:cs="Times New Roman" w:ascii="Times New Roman" w:hAnsi="Times New Roman"/>
          <w:sz w:val="20"/>
          <w:szCs w:val="20"/>
          <w:vertAlign w:val="superscript"/>
        </w:rPr>
        <w:t>3</w:t>
      </w:r>
      <w:r>
        <w:rPr>
          <w:rFonts w:cs="Times New Roman" w:ascii="Times New Roman" w:hAnsi="Times New Roman"/>
          <w:sz w:val="20"/>
          <w:szCs w:val="20"/>
        </w:rPr>
        <w:t xml:space="preserve"> </w:t>
      </w:r>
    </w:p>
    <w:p>
      <w:pPr>
        <w:pStyle w:val="Normal"/>
        <w:tabs>
          <w:tab w:val="clear" w:pos="708"/>
          <w:tab w:val="left" w:pos="1770" w:leader="none"/>
        </w:tabs>
        <w:spacing w:before="0" w:after="0"/>
        <w:contextualSpacing/>
        <w:rPr>
          <w:rFonts w:ascii="Times New Roman" w:hAnsi="Times New Roman" w:cs="Times New Roman"/>
          <w:sz w:val="20"/>
          <w:szCs w:val="20"/>
        </w:rPr>
      </w:pPr>
      <w:r>
        <w:rPr>
          <w:rFonts w:cs="Times New Roman" w:ascii="Times New Roman" w:hAnsi="Times New Roman"/>
          <w:sz w:val="20"/>
          <w:szCs w:val="20"/>
        </w:rPr>
        <w:tab/>
        <w:tab/>
        <w:tab/>
        <w:tab/>
        <w:tab/>
        <w:tab/>
        <w:tab/>
        <w:tab/>
        <w:t xml:space="preserve">                                    перечню</w:t>
      </w:r>
    </w:p>
    <w:p>
      <w:pPr>
        <w:pStyle w:val="Normal"/>
        <w:tabs>
          <w:tab w:val="clear" w:pos="708"/>
          <w:tab w:val="left" w:pos="1770" w:leader="none"/>
        </w:tabs>
        <w:spacing w:before="0" w:after="0"/>
        <w:contextualSpacing/>
        <w:rPr>
          <w:rFonts w:ascii="Times New Roman" w:hAnsi="Times New Roman" w:cs="Times New Roman"/>
          <w:sz w:val="20"/>
          <w:szCs w:val="20"/>
        </w:rPr>
      </w:pPr>
      <w:r>
        <w:rPr>
          <w:rFonts w:cs="Times New Roman" w:ascii="Times New Roman" w:hAnsi="Times New Roman"/>
          <w:sz w:val="20"/>
          <w:szCs w:val="20"/>
        </w:rPr>
        <w:tab/>
        <w:tab/>
        <w:tab/>
        <w:tab/>
        <w:tab/>
        <w:tab/>
        <w:tab/>
        <w:tab/>
      </w:r>
    </w:p>
    <w:p>
      <w:pPr>
        <w:pStyle w:val="Normal"/>
        <w:tabs>
          <w:tab w:val="clear" w:pos="708"/>
          <w:tab w:val="left" w:pos="1770" w:leader="none"/>
        </w:tabs>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__________________________________________________________________________________________</w:t>
      </w:r>
    </w:p>
    <w:p>
      <w:pPr>
        <w:pStyle w:val="Normal"/>
        <w:tabs>
          <w:tab w:val="clear" w:pos="708"/>
          <w:tab w:val="left" w:pos="1770"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2. Категории потребителей муниципальной услуги_________________________________________</w:t>
      </w:r>
    </w:p>
    <w:p>
      <w:pPr>
        <w:pStyle w:val="Normal"/>
        <w:tabs>
          <w:tab w:val="clear" w:pos="708"/>
          <w:tab w:val="left" w:pos="1770"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____________________________________________________________________________________</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3. Сведения о фактическом достижении показателей, характеризующих объем и (или) качество муниципальной услуги</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3.1. Сведения о фактическом достижении показателей, характеризующих качество муниципальной услуги</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bl>
      <w:tblPr>
        <w:tblpPr w:bottomFromText="0" w:horzAnchor="margin" w:leftFromText="180" w:rightFromText="180" w:tblpX="0" w:tblpXSpec="center" w:tblpY="2026" w:topFromText="0" w:vertAnchor="page"/>
        <w:tblW w:w="10598" w:type="dxa"/>
        <w:jc w:val="center"/>
        <w:tblInd w:w="0" w:type="dxa"/>
        <w:tblLayout w:type="fixed"/>
        <w:tblCellMar>
          <w:top w:w="0" w:type="dxa"/>
          <w:left w:w="108" w:type="dxa"/>
          <w:bottom w:w="0" w:type="dxa"/>
          <w:right w:w="108" w:type="dxa"/>
        </w:tblCellMar>
        <w:tblLook w:val="04a0"/>
      </w:tblPr>
      <w:tblGrid>
        <w:gridCol w:w="959"/>
        <w:gridCol w:w="567"/>
        <w:gridCol w:w="567"/>
        <w:gridCol w:w="850"/>
        <w:gridCol w:w="567"/>
        <w:gridCol w:w="709"/>
        <w:gridCol w:w="709"/>
        <w:gridCol w:w="567"/>
        <w:gridCol w:w="709"/>
        <w:gridCol w:w="850"/>
        <w:gridCol w:w="851"/>
        <w:gridCol w:w="850"/>
        <w:gridCol w:w="1133"/>
        <w:gridCol w:w="709"/>
      </w:tblGrid>
      <w:tr>
        <w:trPr/>
        <w:tc>
          <w:tcPr>
            <w:tcW w:w="9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ascii="Times New Roman" w:hAnsi="Times New Roman"/>
                <w:color w:val="000000"/>
                <w:sz w:val="16"/>
                <w:szCs w:val="16"/>
              </w:rPr>
              <w:t>Уникальный номер реестровой записи по общероссийскому базовому (отраслевому)</w:t>
            </w:r>
            <w:r>
              <w:rPr>
                <w:rFonts w:cs="Times New Roman" w:ascii="Times New Roman" w:hAnsi="Times New Roman"/>
                <w:sz w:val="20"/>
                <w:vertAlign w:val="superscript"/>
              </w:rPr>
              <w:t xml:space="preserve"> 5</w:t>
            </w:r>
            <w:r>
              <w:rPr>
                <w:rFonts w:ascii="Times New Roman" w:hAnsi="Times New Roman"/>
                <w:color w:val="000000"/>
                <w:sz w:val="16"/>
                <w:szCs w:val="16"/>
              </w:rPr>
              <w:t xml:space="preserve"> или региональному</w:t>
            </w:r>
            <w:r>
              <w:rPr>
                <w:rFonts w:cs="Times New Roman" w:ascii="Times New Roman" w:hAnsi="Times New Roman"/>
                <w:sz w:val="20"/>
                <w:vertAlign w:val="superscript"/>
              </w:rPr>
              <w:t xml:space="preserve">6) </w:t>
            </w:r>
            <w:r>
              <w:rPr>
                <w:rFonts w:ascii="Times New Roman" w:hAnsi="Times New Roman"/>
                <w:color w:val="000000"/>
                <w:sz w:val="16"/>
                <w:szCs w:val="16"/>
              </w:rPr>
              <w:t>перечню</w:t>
            </w:r>
          </w:p>
        </w:tc>
        <w:tc>
          <w:tcPr>
            <w:tcW w:w="198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Показатель, характеризующий содержание муниципальной услуги</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Показатель, характеризующий условия (формы) оказания муниципальной услуги</w:t>
            </w:r>
          </w:p>
        </w:tc>
        <w:tc>
          <w:tcPr>
            <w:tcW w:w="6378"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Показатель качества муниципальной услуги</w:t>
            </w:r>
          </w:p>
        </w:tc>
      </w:tr>
      <w:tr>
        <w:trPr>
          <w:trHeight w:val="495" w:hRule="atLeast"/>
        </w:trPr>
        <w:tc>
          <w:tcPr>
            <w:tcW w:w="95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наименование показателя  </w:t>
            </w:r>
          </w:p>
        </w:tc>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16"/>
                <w:szCs w:val="16"/>
              </w:rPr>
            </w:pPr>
            <w:r>
              <w:rPr>
                <w:rFonts w:cs="Times New Roman" w:ascii="Times New Roman" w:hAnsi="Times New Roman"/>
                <w:sz w:val="16"/>
                <w:szCs w:val="16"/>
              </w:rPr>
              <w:t>наименование показателя</w:t>
            </w:r>
          </w:p>
          <w:p>
            <w:pPr>
              <w:pStyle w:val="Normal"/>
              <w:widowControl w:val="false"/>
              <w:spacing w:lineRule="auto" w:line="240" w:before="0" w:after="200"/>
              <w:jc w:val="center"/>
              <w:rPr>
                <w:rFonts w:ascii="Times New Roman" w:hAnsi="Times New Roman" w:cs="Times New Roman"/>
                <w:sz w:val="16"/>
                <w:szCs w:val="16"/>
              </w:rPr>
            </w:pPr>
            <w:r>
              <w:rPr>
                <w:rFonts w:cs="Times New Roman" w:ascii="Times New Roman" w:hAnsi="Times New Roman"/>
                <w:sz w:val="16"/>
                <w:szCs w:val="16"/>
              </w:rPr>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sz w:val="16"/>
                <w:szCs w:val="16"/>
              </w:rPr>
            </w:pPr>
            <w:r>
              <w:rPr>
                <w:rFonts w:cs="Times New Roman" w:ascii="Times New Roman" w:hAnsi="Times New Roman"/>
                <w:sz w:val="16"/>
                <w:szCs w:val="16"/>
              </w:rPr>
              <w:t xml:space="preserve">наименование показателя </w:t>
            </w:r>
          </w:p>
        </w:tc>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наименование показателя </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наименование показателя </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наименование показателя </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единица измерения </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утверждено в муниципальном задании на год </w:t>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исполнено на отчетную дату </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допустимое (возможное) отклонение </w:t>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отклонение, превышающее допустимое (возможное) значение  </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причина отклонения </w:t>
            </w:r>
          </w:p>
        </w:tc>
      </w:tr>
      <w:tr>
        <w:trPr>
          <w:trHeight w:val="1115" w:hRule="atLeast"/>
        </w:trPr>
        <w:tc>
          <w:tcPr>
            <w:tcW w:w="95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16"/>
                <w:szCs w:val="16"/>
              </w:rPr>
            </w:pPr>
            <w:r>
              <w:rPr>
                <w:rFonts w:cs="Times New Roman" w:ascii="Times New Roman" w:hAnsi="Times New Roman"/>
                <w:sz w:val="16"/>
                <w:szCs w:val="16"/>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16"/>
                <w:szCs w:val="16"/>
              </w:rPr>
            </w:pPr>
            <w:r>
              <w:rPr>
                <w:rFonts w:cs="Times New Roman" w:ascii="Times New Roman" w:hAnsi="Times New Roman"/>
                <w:sz w:val="16"/>
                <w:szCs w:val="16"/>
              </w:rPr>
            </w:r>
          </w:p>
        </w:tc>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код по </w:t>
            </w:r>
            <w:hyperlink r:id="rId22">
              <w:r>
                <w:rPr>
                  <w:rFonts w:cs="Times New Roman" w:ascii="Times New Roman" w:hAnsi="Times New Roman"/>
                  <w:sz w:val="16"/>
                  <w:szCs w:val="16"/>
                </w:rPr>
                <w:t xml:space="preserve">ОКЕИ </w:t>
              </w:r>
            </w:hyperlink>
            <w:r>
              <w:rPr>
                <w:rFonts w:cs="Times New Roman" w:ascii="Times New Roman" w:hAnsi="Times New Roman"/>
                <w:sz w:val="16"/>
                <w:szCs w:val="16"/>
              </w:rPr>
              <w:t xml:space="preserve">  (7)</w:t>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r>
      <w:tr>
        <w:trPr/>
        <w:tc>
          <w:tcPr>
            <w:tcW w:w="9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3</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4</w:t>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5</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6</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7</w:t>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8</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9</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10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11</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12</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13</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14</w:t>
            </w:r>
          </w:p>
        </w:tc>
      </w:tr>
      <w:tr>
        <w:trPr/>
        <w:tc>
          <w:tcPr>
            <w:tcW w:w="95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r>
      <w:tr>
        <w:trPr/>
        <w:tc>
          <w:tcPr>
            <w:tcW w:w="95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r>
      <w:tr>
        <w:trPr/>
        <w:tc>
          <w:tcPr>
            <w:tcW w:w="95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r>
      <w:tr>
        <w:trPr/>
        <w:tc>
          <w:tcPr>
            <w:tcW w:w="95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16"/>
                <w:szCs w:val="16"/>
              </w:rPr>
            </w:pPr>
            <w:r>
              <w:rPr>
                <w:rFonts w:cs="Times New Roman" w:ascii="Times New Roman" w:hAnsi="Times New Roman"/>
                <w:sz w:val="16"/>
                <w:szCs w:val="16"/>
              </w:rPr>
            </w:r>
          </w:p>
        </w:tc>
      </w:tr>
    </w:tbl>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ConsPlusNonformat"/>
        <w:jc w:val="both"/>
        <w:rPr>
          <w:rFonts w:ascii="Times New Roman" w:hAnsi="Times New Roman" w:cs="Times New Roman"/>
        </w:rPr>
      </w:pPr>
      <w:r>
        <w:rPr>
          <w:rFonts w:cs="Times New Roman" w:ascii="Times New Roman" w:hAnsi="Times New Roman"/>
        </w:rPr>
        <w:t>3.2.  Сведения  о фактическом достижении показателей, характеризующих объем муниципальной услуги</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tbl>
      <w:tblPr>
        <w:tblW w:w="10491" w:type="dxa"/>
        <w:jc w:val="left"/>
        <w:tblInd w:w="0" w:type="dxa"/>
        <w:tblLayout w:type="fixed"/>
        <w:tblCellMar>
          <w:top w:w="0" w:type="dxa"/>
          <w:left w:w="108" w:type="dxa"/>
          <w:bottom w:w="0" w:type="dxa"/>
          <w:right w:w="108" w:type="dxa"/>
        </w:tblCellMar>
        <w:tblLook w:val="04a0"/>
      </w:tblPr>
      <w:tblGrid>
        <w:gridCol w:w="710"/>
        <w:gridCol w:w="709"/>
        <w:gridCol w:w="707"/>
        <w:gridCol w:w="709"/>
        <w:gridCol w:w="709"/>
        <w:gridCol w:w="710"/>
        <w:gridCol w:w="708"/>
        <w:gridCol w:w="566"/>
        <w:gridCol w:w="709"/>
        <w:gridCol w:w="798"/>
        <w:gridCol w:w="621"/>
        <w:gridCol w:w="708"/>
        <w:gridCol w:w="852"/>
        <w:gridCol w:w="565"/>
        <w:gridCol w:w="710"/>
      </w:tblGrid>
      <w:tr>
        <w:trPr>
          <w:trHeight w:val="1185" w:hRule="atLeast"/>
        </w:trPr>
        <w:tc>
          <w:tcPr>
            <w:tcW w:w="71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Уникальный номер реестровой записи по общероссийскому базовому (отраслевому)</w:t>
            </w:r>
            <w:r>
              <w:rPr>
                <w:rFonts w:cs="Times New Roman" w:ascii="Times New Roman" w:hAnsi="Times New Roman"/>
                <w:sz w:val="20"/>
                <w:szCs w:val="20"/>
                <w:vertAlign w:val="superscript"/>
              </w:rPr>
              <w:t xml:space="preserve"> 5</w:t>
            </w:r>
            <w:r>
              <w:rPr>
                <w:rFonts w:eastAsia="Times New Roman" w:ascii="Times New Roman" w:hAnsi="Times New Roman"/>
                <w:color w:val="000000"/>
                <w:sz w:val="16"/>
                <w:szCs w:val="16"/>
                <w:lang w:eastAsia="ru-RU"/>
              </w:rPr>
              <w:t xml:space="preserve"> или региональному</w:t>
            </w:r>
            <w:r>
              <w:rPr>
                <w:rFonts w:cs="Times New Roman" w:ascii="Times New Roman" w:hAnsi="Times New Roman"/>
                <w:sz w:val="20"/>
                <w:szCs w:val="20"/>
                <w:vertAlign w:val="superscript"/>
              </w:rPr>
              <w:t>6</w:t>
            </w:r>
            <w:r>
              <w:rPr>
                <w:rFonts w:cs="Times New Roman" w:ascii="Times New Roman" w:hAnsi="Times New Roman"/>
                <w:sz w:val="20"/>
                <w:vertAlign w:val="superscript"/>
              </w:rPr>
              <w:t>)</w:t>
            </w:r>
            <w:r>
              <w:rPr>
                <w:rFonts w:cs="Times New Roman" w:ascii="Times New Roman" w:hAnsi="Times New Roman"/>
                <w:sz w:val="20"/>
                <w:szCs w:val="20"/>
                <w:vertAlign w:val="superscript"/>
              </w:rPr>
              <w:t xml:space="preserve"> </w:t>
            </w:r>
            <w:r>
              <w:rPr>
                <w:rFonts w:eastAsia="Times New Roman" w:ascii="Times New Roman" w:hAnsi="Times New Roman"/>
                <w:color w:val="000000"/>
                <w:sz w:val="16"/>
                <w:szCs w:val="16"/>
                <w:lang w:eastAsia="ru-RU"/>
              </w:rPr>
              <w:t>перечню</w:t>
            </w:r>
          </w:p>
        </w:tc>
        <w:tc>
          <w:tcPr>
            <w:tcW w:w="2125" w:type="dxa"/>
            <w:gridSpan w:val="3"/>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Показатель, характеризующий содержание муниципальной услуги</w:t>
            </w:r>
          </w:p>
        </w:tc>
        <w:tc>
          <w:tcPr>
            <w:tcW w:w="1419"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Показатель, характеризующий условия (формы) оказания муниципальной услуги</w:t>
            </w:r>
          </w:p>
        </w:tc>
        <w:tc>
          <w:tcPr>
            <w:tcW w:w="5527" w:type="dxa"/>
            <w:gridSpan w:val="8"/>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Показатель объема муниципальной услуги</w:t>
            </w:r>
          </w:p>
        </w:tc>
        <w:tc>
          <w:tcPr>
            <w:tcW w:w="710" w:type="dxa"/>
            <w:tcBorders>
              <w:top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Средний размер платы</w:t>
            </w:r>
          </w:p>
        </w:tc>
      </w:tr>
      <w:tr>
        <w:trPr>
          <w:trHeight w:val="75" w:hRule="atLeast"/>
        </w:trPr>
        <w:tc>
          <w:tcPr>
            <w:tcW w:w="710"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2125" w:type="dxa"/>
            <w:gridSpan w:val="3"/>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9" w:type="dxa"/>
            <w:gridSpan w:val="2"/>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8"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 показателя</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75" w:type="dxa"/>
            <w:gridSpan w:val="2"/>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16"/>
                <w:szCs w:val="16"/>
                <w:lang w:eastAsia="ru-RU"/>
              </w:rPr>
            </w:pPr>
            <w:hyperlink r:id="rId23">
              <w:r>
                <w:rPr>
                  <w:rFonts w:eastAsia="Times New Roman" w:cs="Times New Roman" w:ascii="Times New Roman" w:hAnsi="Times New Roman"/>
                  <w:sz w:val="16"/>
                  <w:szCs w:val="16"/>
                  <w:lang w:eastAsia="ru-RU"/>
                </w:rPr>
                <w:t>единица</w:t>
              </w:r>
            </w:hyperlink>
            <w:r>
              <w:rPr>
                <w:rFonts w:cs="Times New Roman" w:ascii="Times New Roman" w:hAnsi="Times New Roman"/>
                <w:sz w:val="16"/>
                <w:szCs w:val="16"/>
              </w:rPr>
              <w:t xml:space="preserve"> измерения</w:t>
            </w:r>
          </w:p>
        </w:tc>
        <w:tc>
          <w:tcPr>
            <w:tcW w:w="798"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xml:space="preserve">утверждено в муниципальном задании на год </w:t>
            </w:r>
          </w:p>
        </w:tc>
        <w:tc>
          <w:tcPr>
            <w:tcW w:w="62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исполнено на отчетную дату</w:t>
            </w:r>
          </w:p>
        </w:tc>
        <w:tc>
          <w:tcPr>
            <w:tcW w:w="708"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допустимое (возможное) отклонение</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отклонение, превышающее допустимое (возможное) значение</w:t>
            </w:r>
          </w:p>
        </w:tc>
        <w:tc>
          <w:tcPr>
            <w:tcW w:w="565"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причина отклонения</w:t>
            </w:r>
          </w:p>
        </w:tc>
        <w:tc>
          <w:tcPr>
            <w:tcW w:w="710" w:type="dxa"/>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(цена, тариф)</w:t>
            </w:r>
          </w:p>
        </w:tc>
      </w:tr>
      <w:tr>
        <w:trPr>
          <w:trHeight w:val="300" w:hRule="atLeast"/>
        </w:trPr>
        <w:tc>
          <w:tcPr>
            <w:tcW w:w="710"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restart"/>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7" w:type="dxa"/>
            <w:vMerge w:val="restart"/>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restart"/>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restart"/>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10" w:type="dxa"/>
            <w:vMerge w:val="restart"/>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566"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код</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 ОКЕИ</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cs="Times New Roman" w:ascii="Times New Roman" w:hAnsi="Times New Roman"/>
                <w:sz w:val="16"/>
                <w:szCs w:val="16"/>
              </w:rPr>
              <w:t>(7)</w:t>
            </w:r>
            <w:r>
              <w:rPr>
                <w:rFonts w:eastAsia="Times New Roman" w:ascii="Times New Roman" w:hAnsi="Times New Roman"/>
                <w:color w:val="000000"/>
                <w:sz w:val="16"/>
                <w:szCs w:val="16"/>
                <w:lang w:eastAsia="ru-RU"/>
              </w:rPr>
              <w:t xml:space="preserve"> </w:t>
            </w:r>
          </w:p>
        </w:tc>
        <w:tc>
          <w:tcPr>
            <w:tcW w:w="79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62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565"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10" w:type="dxa"/>
            <w:tcBorders>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432" w:hRule="atLeast"/>
        </w:trPr>
        <w:tc>
          <w:tcPr>
            <w:tcW w:w="710"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7" w:type="dxa"/>
            <w:vMerge w:val="continue"/>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10" w:type="dxa"/>
            <w:vMerge w:val="continue"/>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566"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9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62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565"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10" w:type="dxa"/>
            <w:tcBorders>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600" w:hRule="atLeast"/>
        </w:trPr>
        <w:tc>
          <w:tcPr>
            <w:tcW w:w="710"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7" w:type="dxa"/>
            <w:vMerge w:val="continue"/>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10" w:type="dxa"/>
            <w:vMerge w:val="continue"/>
            <w:tcBorders>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566"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9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62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565"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10" w:type="dxa"/>
            <w:tcBorders>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336" w:hRule="atLeast"/>
        </w:trPr>
        <w:tc>
          <w:tcPr>
            <w:tcW w:w="710"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7" w:type="dxa"/>
            <w:vMerge w:val="continue"/>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10" w:type="dxa"/>
            <w:vMerge w:val="continue"/>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566"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9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62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565"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1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315" w:hRule="atLeast"/>
        </w:trPr>
        <w:tc>
          <w:tcPr>
            <w:tcW w:w="710"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w:t>
            </w:r>
          </w:p>
        </w:tc>
        <w:tc>
          <w:tcPr>
            <w:tcW w:w="707"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3</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4</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5</w:t>
            </w:r>
          </w:p>
        </w:tc>
        <w:tc>
          <w:tcPr>
            <w:tcW w:w="710"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6</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7</w:t>
            </w:r>
          </w:p>
        </w:tc>
        <w:tc>
          <w:tcPr>
            <w:tcW w:w="566"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8</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9</w:t>
            </w:r>
          </w:p>
        </w:tc>
        <w:tc>
          <w:tcPr>
            <w:tcW w:w="798"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10</w:t>
            </w:r>
          </w:p>
        </w:tc>
        <w:tc>
          <w:tcPr>
            <w:tcW w:w="621"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11</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12</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13</w:t>
            </w:r>
          </w:p>
        </w:tc>
        <w:tc>
          <w:tcPr>
            <w:tcW w:w="565"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14</w:t>
            </w:r>
          </w:p>
        </w:tc>
        <w:tc>
          <w:tcPr>
            <w:tcW w:w="710"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15</w:t>
            </w:r>
          </w:p>
        </w:tc>
      </w:tr>
      <w:tr>
        <w:trPr>
          <w:trHeight w:val="315" w:hRule="atLeast"/>
        </w:trPr>
        <w:tc>
          <w:tcPr>
            <w:tcW w:w="71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7"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1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6"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9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62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5"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1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315" w:hRule="atLeast"/>
        </w:trPr>
        <w:tc>
          <w:tcPr>
            <w:tcW w:w="71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7"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1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6"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9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62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5"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1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315" w:hRule="atLeast"/>
        </w:trPr>
        <w:tc>
          <w:tcPr>
            <w:tcW w:w="71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7"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1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6"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9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62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5"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1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315" w:hRule="atLeast"/>
        </w:trPr>
        <w:tc>
          <w:tcPr>
            <w:tcW w:w="71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7"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1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6"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9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62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2"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5"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1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bl>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ConsPlusNonformat"/>
        <w:rPr>
          <w:rFonts w:ascii="Times New Roman" w:hAnsi="Times New Roman" w:cs="Times New Roman"/>
          <w:sz w:val="22"/>
          <w:szCs w:val="22"/>
        </w:rPr>
      </w:pPr>
      <w:r>
        <w:rPr>
          <w:rFonts w:cs="Times New Roman" w:ascii="Times New Roman" w:hAnsi="Times New Roman"/>
          <w:sz w:val="22"/>
          <w:szCs w:val="22"/>
        </w:rPr>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sectPr>
          <w:footerReference w:type="default" r:id="rId24"/>
          <w:type w:val="nextPage"/>
          <w:pgSz w:w="11906" w:h="16838"/>
          <w:pgMar w:left="851" w:right="737" w:header="0" w:top="567" w:footer="0" w:bottom="1021" w:gutter="0"/>
          <w:pgNumType w:fmt="decimal"/>
          <w:formProt w:val="false"/>
          <w:textDirection w:val="lrTb"/>
          <w:docGrid w:type="default" w:linePitch="299" w:charSpace="4096"/>
        </w:sect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ConsPlusNonformat"/>
        <w:jc w:val="center"/>
        <w:rPr>
          <w:rFonts w:ascii="Times New Roman" w:hAnsi="Times New Roman" w:cs="Times New Roman"/>
          <w:vertAlign w:val="superscript"/>
        </w:rPr>
      </w:pPr>
      <w:r>
        <w:rPr>
          <w:rFonts w:cs="Times New Roman" w:ascii="Times New Roman" w:hAnsi="Times New Roman"/>
        </w:rPr>
        <w:t xml:space="preserve">ЧАСТЬ 2. Сведения о выполняемых работах </w:t>
      </w:r>
      <w:r>
        <w:rPr>
          <w:rFonts w:cs="Times New Roman" w:ascii="Times New Roman" w:hAnsi="Times New Roman"/>
          <w:vertAlign w:val="superscript"/>
        </w:rPr>
        <w:t>8)</w:t>
      </w:r>
    </w:p>
    <w:p>
      <w:pPr>
        <w:pStyle w:val="ConsPlusNonformat"/>
        <w:jc w:val="center"/>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r>
        <w:rPr>
          <w:rFonts w:cs="Times New Roman" w:ascii="Times New Roman" w:hAnsi="Times New Roman"/>
        </w:rPr>
        <w:t>РАЗДЕЛ ____</w:t>
      </w:r>
    </w:p>
    <w:p>
      <w:pPr>
        <w:pStyle w:val="ConsPlusNonformat"/>
        <w:jc w:val="both"/>
        <w:rPr>
          <w:rFonts w:ascii="Times New Roman" w:hAnsi="Times New Roman" w:cs="Times New Roman"/>
        </w:rPr>
      </w:pPr>
      <w:r>
        <mc:AlternateContent>
          <mc:Choice Requires="wps">
            <w:drawing>
              <wp:anchor behindDoc="0" distT="0" distB="0" distL="114300" distR="114300" simplePos="0" locked="0" layoutInCell="0" allowOverlap="1" relativeHeight="12">
                <wp:simplePos x="0" y="0"/>
                <wp:positionH relativeFrom="column">
                  <wp:posOffset>5462270</wp:posOffset>
                </wp:positionH>
                <wp:positionV relativeFrom="paragraph">
                  <wp:posOffset>1270</wp:posOffset>
                </wp:positionV>
                <wp:extent cx="872490" cy="372110"/>
                <wp:effectExtent l="0" t="0" r="0" b="0"/>
                <wp:wrapNone/>
                <wp:docPr id="17" name=""/>
                <a:graphic xmlns:a="http://schemas.openxmlformats.org/drawingml/2006/main">
                  <a:graphicData uri="http://schemas.microsoft.com/office/word/2010/wordprocessingShape">
                    <wps:wsp>
                      <wps:cNvSpPr/>
                      <wps:nvSpPr>
                        <wps:cNvPr id="9" name="Rectangle 1"/>
                        <wps:cNvSpPr/>
                      </wps:nvSpPr>
                      <wps:spPr>
                        <a:xfrm>
                          <a:off x="0" y="0"/>
                          <a:ext cx="871920" cy="371520"/>
                        </a:xfrm>
                        <a:prstGeom prst="rect">
                          <a:avLst/>
                        </a:prstGeom>
                        <a:solidFill>
                          <a:srgbClr val="ffffff"/>
                        </a:solidFill>
                        <a:ln w="0">
                          <a:solidFill>
                            <a:srgbClr val="000000"/>
                          </a:solidFill>
                        </a:ln>
                      </wps:spPr>
                      <wps:bodyPr/>
                    </wps:wsp>
                  </a:graphicData>
                </a:graphic>
              </wp:anchor>
            </w:drawing>
          </mc:Choice>
          <mc:Fallback>
            <w:pict>
              <v:rect id="shape_0" fillcolor="white" stroked="t" style="position:absolute;margin-left:430.1pt;margin-top:0.1pt;width:68.6pt;height:29.2pt;mso-wrap-style:none;v-text-anchor:middle">
                <v:fill o:detectmouseclick="t" type="solid" color2="black"/>
                <v:stroke color="black" joinstyle="round" endcap="flat"/>
                <w10:wrap type="none"/>
              </v:rect>
            </w:pict>
          </mc:Fallback>
        </mc:AlternateContent>
      </w:r>
      <w:r>
        <w:rPr/>
        <w:t xml:space="preserve"> </w:t>
      </w:r>
      <w:r>
        <w:rPr/>
        <w:t xml:space="preserve">                                                                 </w:t>
      </w:r>
      <w:r>
        <w:rPr>
          <w:rFonts w:cs="Times New Roman" w:ascii="Times New Roman" w:hAnsi="Times New Roman"/>
        </w:rPr>
        <w:t xml:space="preserve">Код по </w:t>
      </w:r>
    </w:p>
    <w:p>
      <w:pPr>
        <w:pStyle w:val="ConsPlusNonformat"/>
        <w:jc w:val="both"/>
        <w:rPr>
          <w:rFonts w:ascii="Times New Roman" w:hAnsi="Times New Roman" w:cs="Times New Roman"/>
        </w:rPr>
      </w:pPr>
      <w:r>
        <w:rPr>
          <w:rFonts w:cs="Times New Roman" w:ascii="Times New Roman" w:hAnsi="Times New Roman"/>
        </w:rPr>
        <w:t xml:space="preserve">1. Наименование работы __________________________                                  </w:t>
      </w:r>
      <w:r>
        <w:rPr>
          <w:rFonts w:cs="Times New Roman" w:ascii="Times New Roman" w:hAnsi="Times New Roman"/>
          <w:strike/>
        </w:rPr>
        <w:t xml:space="preserve"> </w:t>
      </w:r>
      <w:r>
        <w:rPr>
          <w:rFonts w:cs="Times New Roman" w:ascii="Times New Roman" w:hAnsi="Times New Roman"/>
        </w:rPr>
        <w:t>региональному</w:t>
      </w:r>
      <w:r>
        <w:rPr>
          <w:rFonts w:cs="Times New Roman" w:ascii="Times New Roman" w:hAnsi="Times New Roman"/>
          <w:strike/>
        </w:rPr>
        <w:t xml:space="preserve"> </w:t>
      </w:r>
      <w:r>
        <w:rPr>
          <w:rFonts w:cs="Times New Roman" w:ascii="Times New Roman" w:hAnsi="Times New Roman"/>
        </w:rPr>
        <w:t>перечню</w:t>
      </w:r>
    </w:p>
    <w:p>
      <w:pPr>
        <w:pStyle w:val="ConsPlusNonformat"/>
        <w:ind w:left="4956" w:firstLine="708"/>
        <w:jc w:val="both"/>
        <w:rPr>
          <w:rFonts w:ascii="Times New Roman" w:hAnsi="Times New Roman" w:cs="Times New Roman"/>
        </w:rPr>
      </w:pPr>
      <w:r>
        <w:rPr>
          <w:rFonts w:cs="Times New Roman" w:ascii="Times New Roman" w:hAnsi="Times New Roman"/>
        </w:rPr>
        <w:t xml:space="preserve">                        </w:t>
      </w:r>
    </w:p>
    <w:p>
      <w:pPr>
        <w:pStyle w:val="ConsPlusNonformat"/>
        <w:jc w:val="both"/>
        <w:rPr>
          <w:rFonts w:ascii="Times New Roman" w:hAnsi="Times New Roman" w:cs="Times New Roman"/>
          <w:sz w:val="20"/>
          <w:szCs w:val="20"/>
        </w:rPr>
      </w:pPr>
      <w:r>
        <w:rPr/>
        <w:t xml:space="preserve">_______________________________________________________________________ </w:t>
      </w:r>
    </w:p>
    <w:p>
      <w:pPr>
        <w:pStyle w:val="ConsPlusNonformat"/>
        <w:jc w:val="both"/>
        <w:rPr>
          <w:rFonts w:ascii="Times New Roman" w:hAnsi="Times New Roman" w:cs="Times New Roman"/>
          <w:sz w:val="20"/>
          <w:szCs w:val="20"/>
        </w:rPr>
      </w:pPr>
      <w:r>
        <w:rPr/>
      </w:r>
    </w:p>
    <w:p>
      <w:pPr>
        <w:pStyle w:val="ConsPlusNonformat"/>
        <w:jc w:val="both"/>
        <w:rPr>
          <w:rFonts w:ascii="Times New Roman" w:hAnsi="Times New Roman" w:cs="Times New Roman"/>
          <w:sz w:val="20"/>
          <w:szCs w:val="20"/>
        </w:rPr>
      </w:pPr>
      <w:r>
        <w:rPr>
          <w:rFonts w:cs="Times New Roman" w:ascii="Times New Roman" w:hAnsi="Times New Roman"/>
        </w:rPr>
        <w:t xml:space="preserve">2. Категории потребителей работы </w:t>
      </w:r>
      <w:r>
        <w:rPr/>
        <w:t>_______________________________________________________</w:t>
      </w:r>
    </w:p>
    <w:p>
      <w:pPr>
        <w:pStyle w:val="ConsPlusNonformat"/>
        <w:jc w:val="both"/>
        <w:rPr>
          <w:rFonts w:ascii="Times New Roman" w:hAnsi="Times New Roman" w:cs="Times New Roman"/>
          <w:sz w:val="20"/>
          <w:szCs w:val="20"/>
        </w:rPr>
      </w:pPr>
      <w:r>
        <w:rPr/>
        <w:t xml:space="preserve">________________________________________________________________________________ </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3.  Сведения  о фактическом достижении показателей, характеризующих объем и</w:t>
      </w:r>
    </w:p>
    <w:p>
      <w:pPr>
        <w:pStyle w:val="ConsPlusNonformat"/>
        <w:jc w:val="both"/>
        <w:rPr>
          <w:rFonts w:ascii="Times New Roman" w:hAnsi="Times New Roman" w:cs="Times New Roman"/>
        </w:rPr>
      </w:pPr>
      <w:r>
        <w:rPr>
          <w:rFonts w:cs="Times New Roman" w:ascii="Times New Roman" w:hAnsi="Times New Roman"/>
        </w:rPr>
        <w:t>(или) качество работы_____________________________________________________________________________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3.1.   Сведения   о  фактическом  достижении  показателей,  характеризующих качество работы</w:t>
      </w:r>
      <w:r>
        <w:rPr>
          <w:rFonts w:cs="Times New Roman" w:ascii="Times New Roman" w:hAnsi="Times New Roman"/>
          <w:vertAlign w:val="superscript"/>
        </w:rPr>
        <w:t>9)</w:t>
      </w:r>
    </w:p>
    <w:tbl>
      <w:tblPr>
        <w:tblW w:w="10632" w:type="dxa"/>
        <w:jc w:val="left"/>
        <w:tblInd w:w="-459" w:type="dxa"/>
        <w:tblLayout w:type="fixed"/>
        <w:tblCellMar>
          <w:top w:w="0" w:type="dxa"/>
          <w:left w:w="108" w:type="dxa"/>
          <w:bottom w:w="0" w:type="dxa"/>
          <w:right w:w="108" w:type="dxa"/>
        </w:tblCellMar>
        <w:tblLook w:val="04a0"/>
      </w:tblPr>
      <w:tblGrid>
        <w:gridCol w:w="566"/>
        <w:gridCol w:w="709"/>
        <w:gridCol w:w="709"/>
        <w:gridCol w:w="710"/>
        <w:gridCol w:w="708"/>
        <w:gridCol w:w="709"/>
        <w:gridCol w:w="850"/>
        <w:gridCol w:w="567"/>
        <w:gridCol w:w="708"/>
        <w:gridCol w:w="993"/>
        <w:gridCol w:w="851"/>
        <w:gridCol w:w="709"/>
        <w:gridCol w:w="1133"/>
        <w:gridCol w:w="709"/>
      </w:tblGrid>
      <w:tr>
        <w:trPr>
          <w:trHeight w:val="698" w:hRule="atLeast"/>
        </w:trPr>
        <w:tc>
          <w:tcPr>
            <w:tcW w:w="56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Уникальный номер реестровой записи по региональному перечню</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ascii="Times New Roman" w:hAnsi="Times New Roman"/>
                <w:color w:val="000000"/>
                <w:sz w:val="16"/>
                <w:szCs w:val="16"/>
                <w:lang w:eastAsia="ru-RU"/>
              </w:rPr>
              <w:t>(6)</w:t>
            </w:r>
          </w:p>
        </w:tc>
        <w:tc>
          <w:tcPr>
            <w:tcW w:w="2128" w:type="dxa"/>
            <w:gridSpan w:val="3"/>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Показатель, характеризующий содержание муниципальной услуги</w:t>
            </w:r>
          </w:p>
        </w:tc>
        <w:tc>
          <w:tcPr>
            <w:tcW w:w="1417"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Показатель, характеризующий условия (формы) оказания муниципальной услуги</w:t>
            </w:r>
          </w:p>
        </w:tc>
        <w:tc>
          <w:tcPr>
            <w:tcW w:w="6520" w:type="dxa"/>
            <w:gridSpan w:val="8"/>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Показатель качества работы</w:t>
            </w:r>
          </w:p>
        </w:tc>
      </w:tr>
      <w:tr>
        <w:trPr>
          <w:trHeight w:val="335" w:hRule="atLeast"/>
        </w:trPr>
        <w:tc>
          <w:tcPr>
            <w:tcW w:w="56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2128" w:type="dxa"/>
            <w:gridSpan w:val="3"/>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1417" w:type="dxa"/>
            <w:gridSpan w:val="2"/>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85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 показателя</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1275" w:type="dxa"/>
            <w:gridSpan w:val="2"/>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16"/>
                <w:szCs w:val="16"/>
                <w:lang w:eastAsia="ru-RU"/>
              </w:rPr>
            </w:pPr>
            <w:hyperlink r:id="rId25">
              <w:r>
                <w:rPr>
                  <w:rFonts w:eastAsia="Times New Roman" w:cs="Times New Roman" w:ascii="Times New Roman" w:hAnsi="Times New Roman"/>
                  <w:sz w:val="16"/>
                  <w:szCs w:val="16"/>
                  <w:lang w:eastAsia="ru-RU"/>
                </w:rPr>
                <w:t>единица</w:t>
              </w:r>
            </w:hyperlink>
            <w:r>
              <w:rPr>
                <w:rFonts w:cs="Times New Roman" w:ascii="Times New Roman" w:hAnsi="Times New Roman"/>
                <w:sz w:val="16"/>
                <w:szCs w:val="16"/>
              </w:rPr>
              <w:t xml:space="preserve"> измерения</w:t>
            </w:r>
          </w:p>
        </w:tc>
        <w:tc>
          <w:tcPr>
            <w:tcW w:w="993"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xml:space="preserve">утверждено в муниципальном задании на год </w:t>
            </w:r>
          </w:p>
        </w:tc>
        <w:tc>
          <w:tcPr>
            <w:tcW w:w="851"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xml:space="preserve">исполнено на отчетную дату </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допустимое (возможное) отклонение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1133"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отклонение, превышающее допустимое (возможное) значение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причина отклонения</w:t>
            </w:r>
          </w:p>
        </w:tc>
      </w:tr>
      <w:tr>
        <w:trPr>
          <w:trHeight w:val="753" w:hRule="atLeast"/>
        </w:trPr>
        <w:tc>
          <w:tcPr>
            <w:tcW w:w="566" w:type="dxa"/>
            <w:vMerge w:val="continue"/>
            <w:tcBorders>
              <w:top w:val="single" w:sz="8" w:space="0" w:color="000000"/>
              <w:left w:val="single" w:sz="8" w:space="0" w:color="000000"/>
              <w:bottom w:val="single" w:sz="4"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10"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8"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85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567"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8"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код по ОКЕИ</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cs="Times New Roman" w:ascii="Times New Roman" w:hAnsi="Times New Roman"/>
                <w:sz w:val="16"/>
                <w:szCs w:val="16"/>
              </w:rPr>
              <w:t>(7)</w:t>
            </w:r>
          </w:p>
        </w:tc>
        <w:tc>
          <w:tcPr>
            <w:tcW w:w="993"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85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1133"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r>
      <w:tr>
        <w:trPr>
          <w:trHeight w:val="315" w:hRule="atLeast"/>
        </w:trPr>
        <w:tc>
          <w:tcPr>
            <w:tcW w:w="566" w:type="dxa"/>
            <w:tcBorders>
              <w:top w:val="single" w:sz="4"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1</w:t>
            </w:r>
          </w:p>
        </w:tc>
        <w:tc>
          <w:tcPr>
            <w:tcW w:w="709"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2</w:t>
            </w:r>
          </w:p>
        </w:tc>
        <w:tc>
          <w:tcPr>
            <w:tcW w:w="709"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3</w:t>
            </w:r>
          </w:p>
        </w:tc>
        <w:tc>
          <w:tcPr>
            <w:tcW w:w="710"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4</w:t>
            </w:r>
          </w:p>
        </w:tc>
        <w:tc>
          <w:tcPr>
            <w:tcW w:w="708"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5</w:t>
            </w:r>
          </w:p>
        </w:tc>
        <w:tc>
          <w:tcPr>
            <w:tcW w:w="709"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6</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7</w:t>
            </w:r>
          </w:p>
        </w:tc>
        <w:tc>
          <w:tcPr>
            <w:tcW w:w="567"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8</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9</w:t>
            </w:r>
          </w:p>
        </w:tc>
        <w:tc>
          <w:tcPr>
            <w:tcW w:w="993"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10</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11</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12</w:t>
            </w:r>
          </w:p>
        </w:tc>
        <w:tc>
          <w:tcPr>
            <w:tcW w:w="1133"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13</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14</w:t>
            </w:r>
          </w:p>
        </w:tc>
      </w:tr>
      <w:tr>
        <w:trPr>
          <w:trHeight w:val="315" w:hRule="atLeast"/>
        </w:trPr>
        <w:tc>
          <w:tcPr>
            <w:tcW w:w="566"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1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8"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567"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99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113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r>
      <w:tr>
        <w:trPr>
          <w:trHeight w:val="315" w:hRule="atLeast"/>
        </w:trPr>
        <w:tc>
          <w:tcPr>
            <w:tcW w:w="566"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1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567"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99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113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r>
      <w:tr>
        <w:trPr>
          <w:trHeight w:val="315" w:hRule="atLeast"/>
        </w:trPr>
        <w:tc>
          <w:tcPr>
            <w:tcW w:w="566"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1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8"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567"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99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113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r>
      <w:tr>
        <w:trPr>
          <w:trHeight w:val="315" w:hRule="atLeast"/>
        </w:trPr>
        <w:tc>
          <w:tcPr>
            <w:tcW w:w="566"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1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567"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99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851"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113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w:t>
            </w:r>
          </w:p>
        </w:tc>
      </w:tr>
    </w:tbl>
    <w:p>
      <w:pPr>
        <w:pStyle w:val="ConsPlusNonformat"/>
        <w:jc w:val="both"/>
        <w:rPr>
          <w:rFonts w:ascii="Times New Roman" w:hAnsi="Times New Roman" w:cs="Times New Roman"/>
        </w:rPr>
      </w:pPr>
      <w:r>
        <w:rPr>
          <w:rFonts w:cs="Times New Roman" w:ascii="Times New Roman" w:hAnsi="Times New Roman"/>
        </w:rPr>
        <w:t>3.2.  Сведения  о фактическом достижении показателей, характеризующие объем работы</w:t>
      </w:r>
      <w:r>
        <w:rPr>
          <w:rFonts w:cs="Times New Roman" w:ascii="Times New Roman" w:hAnsi="Times New Roman"/>
          <w:vertAlign w:val="superscript"/>
        </w:rPr>
        <w:t>10)</w:t>
      </w:r>
    </w:p>
    <w:p>
      <w:pPr>
        <w:pStyle w:val="ConsPlusNonformat"/>
        <w:jc w:val="both"/>
        <w:rPr>
          <w:rFonts w:ascii="Times New Roman" w:hAnsi="Times New Roman" w:cs="Times New Roman"/>
          <w:sz w:val="16"/>
          <w:szCs w:val="16"/>
        </w:rPr>
      </w:pPr>
      <w:r>
        <w:rPr>
          <w:rFonts w:cs="Times New Roman" w:ascii="Times New Roman" w:hAnsi="Times New Roman"/>
          <w:sz w:val="16"/>
          <w:szCs w:val="16"/>
        </w:rPr>
      </w:r>
    </w:p>
    <w:tbl>
      <w:tblPr>
        <w:tblW w:w="10631" w:type="dxa"/>
        <w:jc w:val="left"/>
        <w:tblInd w:w="-459" w:type="dxa"/>
        <w:tblLayout w:type="fixed"/>
        <w:tblCellMar>
          <w:top w:w="0" w:type="dxa"/>
          <w:left w:w="108" w:type="dxa"/>
          <w:bottom w:w="0" w:type="dxa"/>
          <w:right w:w="108" w:type="dxa"/>
        </w:tblCellMar>
        <w:tblLook w:val="04a0"/>
      </w:tblPr>
      <w:tblGrid>
        <w:gridCol w:w="566"/>
        <w:gridCol w:w="709"/>
        <w:gridCol w:w="709"/>
        <w:gridCol w:w="710"/>
        <w:gridCol w:w="707"/>
        <w:gridCol w:w="710"/>
        <w:gridCol w:w="850"/>
        <w:gridCol w:w="568"/>
        <w:gridCol w:w="708"/>
        <w:gridCol w:w="993"/>
        <w:gridCol w:w="849"/>
        <w:gridCol w:w="709"/>
        <w:gridCol w:w="1134"/>
        <w:gridCol w:w="708"/>
      </w:tblGrid>
      <w:tr>
        <w:trPr>
          <w:trHeight w:val="855" w:hRule="atLeast"/>
        </w:trPr>
        <w:tc>
          <w:tcPr>
            <w:tcW w:w="56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Уникальный номер реестровой записи по региональному перечню</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ascii="Times New Roman" w:hAnsi="Times New Roman"/>
                <w:color w:val="000000"/>
                <w:sz w:val="16"/>
                <w:szCs w:val="16"/>
                <w:lang w:eastAsia="ru-RU"/>
              </w:rPr>
              <w:t>(6</w:t>
            </w:r>
          </w:p>
        </w:tc>
        <w:tc>
          <w:tcPr>
            <w:tcW w:w="2128" w:type="dxa"/>
            <w:gridSpan w:val="3"/>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Показатель, характеризующий содержание муниципальной услуги</w:t>
            </w:r>
          </w:p>
        </w:tc>
        <w:tc>
          <w:tcPr>
            <w:tcW w:w="1417"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Показатель, характеризующий условия (формы) оказания муниципальной услуги</w:t>
            </w:r>
          </w:p>
        </w:tc>
        <w:tc>
          <w:tcPr>
            <w:tcW w:w="6519" w:type="dxa"/>
            <w:gridSpan w:val="8"/>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Показатель объема работы</w:t>
            </w:r>
          </w:p>
        </w:tc>
      </w:tr>
      <w:tr>
        <w:trPr>
          <w:trHeight w:val="535" w:hRule="atLeast"/>
        </w:trPr>
        <w:tc>
          <w:tcPr>
            <w:tcW w:w="56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2128" w:type="dxa"/>
            <w:gridSpan w:val="3"/>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7" w:type="dxa"/>
            <w:gridSpan w:val="2"/>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 показателя</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1276" w:type="dxa"/>
            <w:gridSpan w:val="2"/>
            <w:tcBorders>
              <w:top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16"/>
                <w:szCs w:val="16"/>
                <w:lang w:eastAsia="ru-RU"/>
              </w:rPr>
            </w:pPr>
            <w:hyperlink r:id="rId26">
              <w:r>
                <w:rPr>
                  <w:rFonts w:eastAsia="Times New Roman" w:cs="Times New Roman" w:ascii="Times New Roman" w:hAnsi="Times New Roman"/>
                  <w:sz w:val="16"/>
                  <w:szCs w:val="16"/>
                  <w:lang w:eastAsia="ru-RU"/>
                </w:rPr>
                <w:t>единица</w:t>
              </w:r>
            </w:hyperlink>
            <w:r>
              <w:rPr>
                <w:rFonts w:cs="Times New Roman" w:ascii="Times New Roman" w:hAnsi="Times New Roman"/>
                <w:sz w:val="16"/>
                <w:szCs w:val="16"/>
              </w:rPr>
              <w:t xml:space="preserve"> измерения</w:t>
            </w:r>
          </w:p>
        </w:tc>
        <w:tc>
          <w:tcPr>
            <w:tcW w:w="993"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xml:space="preserve">утверждено в муниципальном задании на год </w:t>
            </w:r>
          </w:p>
        </w:tc>
        <w:tc>
          <w:tcPr>
            <w:tcW w:w="84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 xml:space="preserve">исполнено на отчетную дату </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допустимое (возможное) отклонение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1134"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отклонение, превышающее допустимое (возможное) значение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8"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причина отклонения</w:t>
            </w:r>
          </w:p>
        </w:tc>
      </w:tr>
      <w:tr>
        <w:trPr>
          <w:trHeight w:val="1038" w:hRule="atLeast"/>
        </w:trPr>
        <w:tc>
          <w:tcPr>
            <w:tcW w:w="566" w:type="dxa"/>
            <w:vMerge w:val="continue"/>
            <w:tcBorders>
              <w:top w:val="single" w:sz="8" w:space="0" w:color="000000"/>
              <w:left w:val="single" w:sz="8" w:space="0" w:color="000000"/>
              <w:bottom w:val="single" w:sz="4"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9"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10"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7"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10" w:type="dxa"/>
            <w:tcBorders>
              <w:bottom w:val="single" w:sz="4"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показателя)</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850" w:type="dxa"/>
            <w:vMerge w:val="continue"/>
            <w:tcBorders>
              <w:left w:val="single" w:sz="8" w:space="0" w:color="000000"/>
              <w:bottom w:val="single" w:sz="4"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568"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708"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код по ОКЕИ</w:t>
            </w:r>
          </w:p>
          <w:p>
            <w:pPr>
              <w:pStyle w:val="Normal"/>
              <w:widowControl w:val="false"/>
              <w:spacing w:lineRule="auto" w:line="240" w:before="0" w:after="0"/>
              <w:jc w:val="center"/>
              <w:rPr>
                <w:rFonts w:ascii="Times New Roman" w:hAnsi="Times New Roman" w:eastAsia="Times New Roman" w:cs="Times New Roman"/>
                <w:color w:val="000000"/>
                <w:sz w:val="16"/>
                <w:szCs w:val="16"/>
                <w:lang w:eastAsia="ru-RU"/>
              </w:rPr>
            </w:pPr>
            <w:r>
              <w:rPr>
                <w:rFonts w:cs="Times New Roman" w:ascii="Times New Roman" w:hAnsi="Times New Roman"/>
                <w:sz w:val="16"/>
                <w:szCs w:val="16"/>
              </w:rPr>
              <w:t>(7)</w:t>
            </w:r>
          </w:p>
        </w:tc>
        <w:tc>
          <w:tcPr>
            <w:tcW w:w="993"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4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134"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r>
      <w:tr>
        <w:trPr>
          <w:trHeight w:val="315" w:hRule="atLeast"/>
        </w:trPr>
        <w:tc>
          <w:tcPr>
            <w:tcW w:w="566" w:type="dxa"/>
            <w:tcBorders>
              <w:top w:val="single" w:sz="4"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w:t>
            </w:r>
          </w:p>
        </w:tc>
        <w:tc>
          <w:tcPr>
            <w:tcW w:w="709"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w:t>
            </w:r>
          </w:p>
        </w:tc>
        <w:tc>
          <w:tcPr>
            <w:tcW w:w="709"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3</w:t>
            </w:r>
          </w:p>
        </w:tc>
        <w:tc>
          <w:tcPr>
            <w:tcW w:w="710"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4</w:t>
            </w:r>
          </w:p>
        </w:tc>
        <w:tc>
          <w:tcPr>
            <w:tcW w:w="707"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5</w:t>
            </w:r>
          </w:p>
        </w:tc>
        <w:tc>
          <w:tcPr>
            <w:tcW w:w="710"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6</w:t>
            </w:r>
          </w:p>
        </w:tc>
        <w:tc>
          <w:tcPr>
            <w:tcW w:w="850" w:type="dxa"/>
            <w:tcBorders>
              <w:top w:val="single" w:sz="4"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7</w:t>
            </w:r>
          </w:p>
        </w:tc>
        <w:tc>
          <w:tcPr>
            <w:tcW w:w="568"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8</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9</w:t>
            </w:r>
          </w:p>
        </w:tc>
        <w:tc>
          <w:tcPr>
            <w:tcW w:w="993"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10</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11</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12</w:t>
            </w:r>
          </w:p>
        </w:tc>
        <w:tc>
          <w:tcPr>
            <w:tcW w:w="1134"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13</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14</w:t>
            </w:r>
          </w:p>
        </w:tc>
      </w:tr>
      <w:tr>
        <w:trPr>
          <w:trHeight w:val="315" w:hRule="atLeast"/>
        </w:trPr>
        <w:tc>
          <w:tcPr>
            <w:tcW w:w="566"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1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7"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1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1134"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315" w:hRule="atLeast"/>
        </w:trPr>
        <w:tc>
          <w:tcPr>
            <w:tcW w:w="566"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1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7"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1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1134"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293" w:hRule="atLeast"/>
        </w:trPr>
        <w:tc>
          <w:tcPr>
            <w:tcW w:w="566"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1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7"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10" w:type="dxa"/>
            <w:vMerge w:val="restart"/>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1134"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r>
        <w:trPr>
          <w:trHeight w:val="325" w:hRule="atLeast"/>
        </w:trPr>
        <w:tc>
          <w:tcPr>
            <w:tcW w:w="566"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1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07"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1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850"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56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993"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84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9"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1134"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c>
          <w:tcPr>
            <w:tcW w:w="708" w:type="dxa"/>
            <w:tcBorders>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 </w:t>
            </w:r>
          </w:p>
        </w:tc>
      </w:tr>
    </w:tbl>
    <w:p>
      <w:pPr>
        <w:pStyle w:val="ConsPlusNonformat"/>
        <w:jc w:val="both"/>
        <w:rPr>
          <w:rFonts w:ascii="Times New Roman" w:hAnsi="Times New Roman" w:cs="Times New Roman"/>
          <w:sz w:val="18"/>
          <w:szCs w:val="18"/>
        </w:rPr>
      </w:pPr>
      <w:r>
        <w:rPr>
          <w:rFonts w:cs="Times New Roman" w:ascii="Times New Roman" w:hAnsi="Times New Roman"/>
          <w:sz w:val="18"/>
          <w:szCs w:val="18"/>
        </w:rPr>
        <w:t>Руководитель</w:t>
      </w:r>
    </w:p>
    <w:p>
      <w:pPr>
        <w:pStyle w:val="ConsPlusNonformat"/>
        <w:jc w:val="both"/>
        <w:rPr>
          <w:rFonts w:ascii="Times New Roman" w:hAnsi="Times New Roman" w:cs="Times New Roman"/>
          <w:sz w:val="18"/>
          <w:szCs w:val="18"/>
        </w:rPr>
      </w:pPr>
      <w:r>
        <w:rPr>
          <w:rFonts w:cs="Times New Roman" w:ascii="Times New Roman" w:hAnsi="Times New Roman"/>
          <w:sz w:val="18"/>
          <w:szCs w:val="18"/>
        </w:rPr>
        <w:t>(уполномоченное лицо) ____________        ___________        ____________________________</w:t>
      </w:r>
    </w:p>
    <w:p>
      <w:pPr>
        <w:pStyle w:val="ConsPlusNonformat"/>
        <w:jc w:val="both"/>
        <w:rPr>
          <w:rFonts w:ascii="Times New Roman" w:hAnsi="Times New Roman" w:cs="Times New Roman"/>
          <w:sz w:val="16"/>
          <w:szCs w:val="16"/>
        </w:rPr>
      </w:pPr>
      <w:r>
        <w:rPr>
          <w:rFonts w:cs="Times New Roman" w:ascii="Times New Roman" w:hAnsi="Times New Roman"/>
          <w:sz w:val="18"/>
          <w:szCs w:val="18"/>
        </w:rPr>
        <w:t xml:space="preserve">                                             </w:t>
      </w:r>
      <w:r>
        <w:rPr>
          <w:rFonts w:cs="Times New Roman" w:ascii="Times New Roman" w:hAnsi="Times New Roman"/>
          <w:sz w:val="16"/>
          <w:szCs w:val="16"/>
        </w:rPr>
        <w:t>(должность)                (подпись)                          (расшифровка подписи)</w:t>
      </w:r>
    </w:p>
    <w:p>
      <w:pPr>
        <w:pStyle w:val="ConsPlusNonformat"/>
        <w:jc w:val="both"/>
        <w:rPr>
          <w:rFonts w:ascii="Times New Roman" w:hAnsi="Times New Roman" w:cs="Times New Roman"/>
          <w:sz w:val="16"/>
          <w:szCs w:val="16"/>
        </w:rPr>
      </w:pPr>
      <w:r>
        <w:rPr>
          <w:rFonts w:cs="Times New Roman" w:ascii="Times New Roman" w:hAnsi="Times New Roman"/>
          <w:sz w:val="16"/>
          <w:szCs w:val="16"/>
        </w:rPr>
      </w:r>
    </w:p>
    <w:p>
      <w:pPr>
        <w:pStyle w:val="ConsPlusNonformat"/>
        <w:jc w:val="both"/>
        <w:rPr>
          <w:rFonts w:ascii="Times New Roman" w:hAnsi="Times New Roman" w:cs="Times New Roman"/>
          <w:sz w:val="18"/>
          <w:szCs w:val="18"/>
        </w:rPr>
      </w:pPr>
      <w:r>
        <w:rPr>
          <w:rFonts w:cs="Times New Roman" w:ascii="Times New Roman" w:hAnsi="Times New Roman"/>
          <w:sz w:val="18"/>
          <w:szCs w:val="18"/>
        </w:rPr>
        <w:t>"______" ___________________ 20 ___ г.</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1)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pPr>
        <w:pStyle w:val="Normal"/>
        <w:spacing w:lineRule="auto" w:line="240" w:before="0" w:after="0"/>
        <w:rPr>
          <w:rFonts w:ascii="Times New Roman" w:hAnsi="Times New Roman" w:cs="Times New Roman"/>
          <w:sz w:val="20"/>
          <w:szCs w:val="20"/>
        </w:rPr>
      </w:pPr>
      <w:bookmarkStart w:id="16" w:name="Par986"/>
      <w:bookmarkEnd w:id="16"/>
      <w:r>
        <w:rPr>
          <w:rFonts w:cs="Times New Roman" w:ascii="Times New Roman" w:hAnsi="Times New Roman"/>
          <w:sz w:val="20"/>
          <w:szCs w:val="20"/>
        </w:rPr>
        <w:t>2) Код по общероссийскому базовому (отраслевому) перечню.</w:t>
      </w:r>
    </w:p>
    <w:p>
      <w:pPr>
        <w:pStyle w:val="Normal"/>
        <w:spacing w:lineRule="auto" w:line="240" w:before="0" w:after="0"/>
        <w:rPr>
          <w:rFonts w:ascii="Times New Roman" w:hAnsi="Times New Roman" w:cs="Times New Roman"/>
          <w:sz w:val="20"/>
          <w:szCs w:val="20"/>
        </w:rPr>
      </w:pPr>
      <w:bookmarkStart w:id="17" w:name="Par987"/>
      <w:bookmarkEnd w:id="17"/>
      <w:r>
        <w:rPr>
          <w:rFonts w:cs="Times New Roman" w:ascii="Times New Roman" w:hAnsi="Times New Roman"/>
          <w:sz w:val="20"/>
          <w:szCs w:val="20"/>
        </w:rPr>
        <w:t>3) Код по региональному перечню.</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4) Заполняется при установлении показателей, характеризующих качество муниципальной услуги, в общероссийском базовом (отраслевом) или региональному перечне.</w:t>
      </w:r>
    </w:p>
    <w:p>
      <w:pPr>
        <w:pStyle w:val="Normal"/>
        <w:spacing w:lineRule="auto" w:line="240" w:before="0" w:after="0"/>
        <w:rPr>
          <w:rFonts w:ascii="Times New Roman" w:hAnsi="Times New Roman" w:cs="Times New Roman"/>
          <w:sz w:val="20"/>
          <w:szCs w:val="20"/>
        </w:rPr>
      </w:pPr>
      <w:bookmarkStart w:id="18" w:name="Par989"/>
      <w:bookmarkEnd w:id="18"/>
      <w:r>
        <w:rPr>
          <w:rFonts w:cs="Times New Roman" w:ascii="Times New Roman" w:hAnsi="Times New Roman"/>
          <w:sz w:val="20"/>
          <w:szCs w:val="20"/>
        </w:rPr>
        <w:t>5) Уникальный номер реестровой записи по общероссийскому базовому (отраслевому) перечню.</w:t>
      </w:r>
    </w:p>
    <w:p>
      <w:pPr>
        <w:pStyle w:val="Normal"/>
        <w:spacing w:lineRule="auto" w:line="240" w:before="0" w:after="0"/>
        <w:rPr>
          <w:rFonts w:ascii="Times New Roman" w:hAnsi="Times New Roman" w:cs="Times New Roman"/>
          <w:sz w:val="20"/>
          <w:szCs w:val="20"/>
        </w:rPr>
      </w:pPr>
      <w:bookmarkStart w:id="19" w:name="Par990"/>
      <w:bookmarkEnd w:id="19"/>
      <w:r>
        <w:rPr>
          <w:rFonts w:cs="Times New Roman" w:ascii="Times New Roman" w:hAnsi="Times New Roman"/>
          <w:sz w:val="20"/>
          <w:szCs w:val="20"/>
        </w:rPr>
        <w:t>6) Уникальный номер реестровой записи по региональному перечню.</w:t>
      </w:r>
    </w:p>
    <w:p>
      <w:pPr>
        <w:pStyle w:val="Normal"/>
        <w:spacing w:lineRule="auto" w:line="240" w:before="0" w:after="0"/>
        <w:rPr>
          <w:rFonts w:ascii="Times New Roman" w:hAnsi="Times New Roman" w:cs="Times New Roman"/>
          <w:sz w:val="20"/>
          <w:szCs w:val="20"/>
        </w:rPr>
      </w:pPr>
      <w:bookmarkStart w:id="20" w:name="Par991"/>
      <w:bookmarkEnd w:id="20"/>
      <w:r>
        <w:rPr>
          <w:rFonts w:cs="Times New Roman" w:ascii="Times New Roman" w:hAnsi="Times New Roman"/>
          <w:sz w:val="20"/>
          <w:szCs w:val="20"/>
        </w:rPr>
        <w:t>7) Заполняется в соответствии с кодом, указанным в общероссийском базовом (отраслевом) или региональном перечне (при наличии).</w:t>
      </w:r>
    </w:p>
    <w:p>
      <w:pPr>
        <w:pStyle w:val="Normal"/>
        <w:spacing w:lineRule="auto" w:line="240" w:before="0" w:after="0"/>
        <w:rPr>
          <w:rFonts w:ascii="Times New Roman" w:hAnsi="Times New Roman" w:cs="Times New Roman"/>
          <w:sz w:val="20"/>
          <w:szCs w:val="20"/>
        </w:rPr>
      </w:pPr>
      <w:bookmarkStart w:id="21" w:name="Par992"/>
      <w:bookmarkEnd w:id="21"/>
      <w:r>
        <w:rPr>
          <w:rFonts w:cs="Times New Roman" w:ascii="Times New Roman" w:hAnsi="Times New Roman"/>
          <w:sz w:val="20"/>
          <w:szCs w:val="20"/>
        </w:rPr>
        <w:t>8) Формируется при установлении муниципального задания на оказание муниципальной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w:t>
      </w:r>
    </w:p>
    <w:p>
      <w:pPr>
        <w:pStyle w:val="Normal"/>
        <w:spacing w:lineRule="auto" w:line="240" w:before="0" w:after="0"/>
        <w:rPr>
          <w:rFonts w:ascii="Times New Roman" w:hAnsi="Times New Roman" w:cs="Times New Roman"/>
          <w:sz w:val="20"/>
          <w:szCs w:val="20"/>
        </w:rPr>
      </w:pPr>
      <w:bookmarkStart w:id="22" w:name="Par993"/>
      <w:bookmarkEnd w:id="22"/>
      <w:r>
        <w:rPr>
          <w:rFonts w:cs="Times New Roman" w:ascii="Times New Roman" w:hAnsi="Times New Roman"/>
          <w:sz w:val="20"/>
          <w:szCs w:val="20"/>
        </w:rPr>
        <w:t>9) Заполняется при установлении показателей, характеризующих качество работы в региональном перечне.</w:t>
      </w:r>
    </w:p>
    <w:p>
      <w:pPr>
        <w:pStyle w:val="Normal"/>
        <w:spacing w:lineRule="auto" w:line="240" w:before="0" w:after="0"/>
        <w:jc w:val="both"/>
        <w:rPr>
          <w:rFonts w:ascii="Times New Roman" w:hAnsi="Times New Roman" w:cs="Times New Roman"/>
          <w:sz w:val="18"/>
          <w:szCs w:val="18"/>
        </w:rPr>
      </w:pPr>
      <w:r>
        <w:rPr>
          <w:rFonts w:cs="Times New Roman" w:ascii="Times New Roman" w:hAnsi="Times New Roman"/>
          <w:sz w:val="20"/>
          <w:szCs w:val="20"/>
        </w:rPr>
        <w:t>10) Заполняется при установлении показателей, характеризующих объем работы в региональном перечне.</w:t>
      </w:r>
    </w:p>
    <w:sectPr>
      <w:footerReference w:type="default" r:id="rId27"/>
      <w:type w:val="nextPage"/>
      <w:pgSz w:w="11906" w:h="16838"/>
      <w:pgMar w:left="1361" w:right="851" w:header="0" w:top="1134" w:footer="0" w:bottom="85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42702922"/>
    </w:sdtPr>
    <w:sdtContent>
      <w:p>
        <w:pPr>
          <w:pStyle w:val="Style23"/>
          <w:jc w:val="center"/>
          <w:rPr/>
        </w:pPr>
        <w:r>
          <w:rPr/>
          <w:fldChar w:fldCharType="begin"/>
        </w:r>
        <w:r>
          <w:rPr/>
          <w:instrText> PAGE </w:instrText>
        </w:r>
        <w:r>
          <w:rPr/>
          <w:fldChar w:fldCharType="separate"/>
        </w:r>
        <w:r>
          <w:rPr/>
          <w:t>17</w:t>
        </w:r>
        <w:r>
          <w:rPr/>
          <w:fldChar w:fldCharType="end"/>
        </w:r>
      </w:p>
      <w:p>
        <w:pPr>
          <w:pStyle w:val="Style23"/>
          <w:spacing w:before="0" w:after="200"/>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49544989"/>
    </w:sdtPr>
    <w:sdtContent>
      <w:p>
        <w:pPr>
          <w:pStyle w:val="Style23"/>
          <w:jc w:val="center"/>
          <w:rPr/>
        </w:pPr>
        <w:r>
          <w:rPr/>
          <w:fldChar w:fldCharType="begin"/>
        </w:r>
        <w:r>
          <w:rPr/>
          <w:instrText> PAGE </w:instrText>
        </w:r>
        <w:r>
          <w:rPr/>
          <w:fldChar w:fldCharType="separate"/>
        </w:r>
        <w:r>
          <w:rPr/>
          <w:t>21</w:t>
        </w:r>
        <w:r>
          <w:rPr/>
          <w:fldChar w:fldCharType="end"/>
        </w:r>
      </w:p>
      <w:p>
        <w:pPr>
          <w:pStyle w:val="Style23"/>
          <w:spacing w:before="0" w:after="200"/>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15887033"/>
    </w:sdtPr>
    <w:sdtContent>
      <w:p>
        <w:pPr>
          <w:pStyle w:val="Style23"/>
          <w:jc w:val="center"/>
          <w:rPr/>
        </w:pPr>
        <w:r>
          <w:rPr/>
          <w:fldChar w:fldCharType="begin"/>
        </w:r>
        <w:r>
          <w:rPr/>
          <w:instrText> PAGE </w:instrText>
        </w:r>
        <w:r>
          <w:rPr/>
          <w:fldChar w:fldCharType="separate"/>
        </w:r>
        <w:r>
          <w:rPr/>
          <w:t>23</w:t>
        </w:r>
        <w:r>
          <w:rPr/>
          <w:fldChar w:fldCharType="end"/>
        </w:r>
      </w:p>
      <w:p>
        <w:pPr>
          <w:pStyle w:val="Style23"/>
          <w:spacing w:before="0" w:after="200"/>
          <w:rPr/>
        </w:pPr>
        <w:r>
          <w:rPr/>
        </w:r>
      </w:p>
    </w:sdtContent>
  </w:sdt>
</w:ft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96d5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a907be"/>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4">
    <w:name w:val="Heading 4"/>
    <w:basedOn w:val="Normal"/>
    <w:next w:val="Normal"/>
    <w:link w:val="40"/>
    <w:uiPriority w:val="9"/>
    <w:semiHidden/>
    <w:unhideWhenUsed/>
    <w:qFormat/>
    <w:rsid w:val="00a907be"/>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a3"/>
    <w:uiPriority w:val="99"/>
    <w:semiHidden/>
    <w:qFormat/>
    <w:rsid w:val="009968bb"/>
    <w:rPr>
      <w:rFonts w:ascii="Tahoma" w:hAnsi="Tahoma" w:cs="Tahoma"/>
      <w:sz w:val="16"/>
      <w:szCs w:val="16"/>
    </w:rPr>
  </w:style>
  <w:style w:type="character" w:styleId="Style13">
    <w:name w:val="Интернет-ссылка"/>
    <w:basedOn w:val="DefaultParagraphFont"/>
    <w:unhideWhenUsed/>
    <w:rsid w:val="000554ce"/>
    <w:rPr>
      <w:color w:val="0000FF"/>
      <w:u w:val="single"/>
    </w:rPr>
  </w:style>
  <w:style w:type="character" w:styleId="Style14" w:customStyle="1">
    <w:name w:val="Верхний колонтитул Знак"/>
    <w:basedOn w:val="DefaultParagraphFont"/>
    <w:link w:val="a7"/>
    <w:uiPriority w:val="99"/>
    <w:semiHidden/>
    <w:qFormat/>
    <w:rsid w:val="000554ce"/>
    <w:rPr>
      <w:rFonts w:ascii="Calibri" w:hAnsi="Calibri" w:eastAsia="Calibri" w:cs="Times New Roman"/>
    </w:rPr>
  </w:style>
  <w:style w:type="character" w:styleId="Style15" w:customStyle="1">
    <w:name w:val="Нижний колонтитул Знак"/>
    <w:basedOn w:val="DefaultParagraphFont"/>
    <w:link w:val="a9"/>
    <w:uiPriority w:val="99"/>
    <w:qFormat/>
    <w:rsid w:val="000554ce"/>
    <w:rPr>
      <w:rFonts w:ascii="Calibri" w:hAnsi="Calibri" w:eastAsia="Calibri" w:cs="Times New Roman"/>
    </w:rPr>
  </w:style>
  <w:style w:type="character" w:styleId="11" w:customStyle="1">
    <w:name w:val="Заголовок 1 Знак"/>
    <w:basedOn w:val="DefaultParagraphFont"/>
    <w:link w:val="1"/>
    <w:uiPriority w:val="9"/>
    <w:qFormat/>
    <w:rsid w:val="00a907be"/>
    <w:rPr>
      <w:rFonts w:ascii="Times New Roman" w:hAnsi="Times New Roman" w:eastAsia="Times New Roman" w:cs="Times New Roman"/>
      <w:b/>
      <w:bCs/>
      <w:kern w:val="2"/>
      <w:sz w:val="48"/>
      <w:szCs w:val="48"/>
      <w:lang w:eastAsia="ru-RU"/>
    </w:rPr>
  </w:style>
  <w:style w:type="character" w:styleId="41" w:customStyle="1">
    <w:name w:val="Заголовок 4 Знак"/>
    <w:basedOn w:val="DefaultParagraphFont"/>
    <w:link w:val="4"/>
    <w:uiPriority w:val="9"/>
    <w:semiHidden/>
    <w:qFormat/>
    <w:rsid w:val="00a907be"/>
    <w:rPr>
      <w:rFonts w:ascii="Cambria" w:hAnsi="Cambria" w:eastAsia="" w:cs="" w:asciiTheme="majorHAnsi" w:cstheme="majorBidi" w:eastAsiaTheme="majorEastAsia" w:hAnsiTheme="majorHAnsi"/>
      <w:b/>
      <w:bCs/>
      <w:i/>
      <w:iCs/>
      <w:color w:val="4F81BD" w:themeColor="accent1"/>
    </w:rPr>
  </w:style>
  <w:style w:type="character" w:styleId="PlaceholderText">
    <w:name w:val="Placeholder Text"/>
    <w:basedOn w:val="DefaultParagraphFont"/>
    <w:uiPriority w:val="99"/>
    <w:semiHidden/>
    <w:qFormat/>
    <w:rsid w:val="00ca2506"/>
    <w:rPr>
      <w:color w:val="808080"/>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nsPlusNormal" w:customStyle="1">
    <w:name w:val="ConsPlusNormal"/>
    <w:qFormat/>
    <w:rsid w:val="009968bb"/>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BalloonText">
    <w:name w:val="Balloon Text"/>
    <w:basedOn w:val="Normal"/>
    <w:link w:val="a4"/>
    <w:uiPriority w:val="99"/>
    <w:semiHidden/>
    <w:unhideWhenUsed/>
    <w:qFormat/>
    <w:rsid w:val="009968bb"/>
    <w:pPr>
      <w:spacing w:lineRule="auto" w:line="240" w:before="0" w:after="0"/>
    </w:pPr>
    <w:rPr>
      <w:rFonts w:ascii="Tahoma" w:hAnsi="Tahoma" w:cs="Tahoma"/>
      <w:sz w:val="16"/>
      <w:szCs w:val="16"/>
    </w:rPr>
  </w:style>
  <w:style w:type="paragraph" w:styleId="ConsPlusNonformat" w:customStyle="1">
    <w:name w:val="ConsPlusNonformat"/>
    <w:qFormat/>
    <w:rsid w:val="000554ce"/>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0554ce"/>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0554ce"/>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0554ce"/>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Page" w:customStyle="1">
    <w:name w:val="ConsPlusTitlePage"/>
    <w:qFormat/>
    <w:rsid w:val="000554ce"/>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0554ce"/>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Style21">
    <w:name w:val="Верхний и нижний колонтитулы"/>
    <w:basedOn w:val="Normal"/>
    <w:qFormat/>
    <w:pPr/>
    <w:rPr/>
  </w:style>
  <w:style w:type="paragraph" w:styleId="Style22">
    <w:name w:val="Header"/>
    <w:basedOn w:val="Normal"/>
    <w:link w:val="a8"/>
    <w:uiPriority w:val="99"/>
    <w:semiHidden/>
    <w:unhideWhenUsed/>
    <w:rsid w:val="000554ce"/>
    <w:pPr>
      <w:tabs>
        <w:tab w:val="clear" w:pos="708"/>
        <w:tab w:val="center" w:pos="4677" w:leader="none"/>
        <w:tab w:val="right" w:pos="9355" w:leader="none"/>
      </w:tabs>
    </w:pPr>
    <w:rPr>
      <w:rFonts w:ascii="Calibri" w:hAnsi="Calibri" w:eastAsia="Calibri" w:cs="Times New Roman"/>
    </w:rPr>
  </w:style>
  <w:style w:type="paragraph" w:styleId="Style23">
    <w:name w:val="Footer"/>
    <w:basedOn w:val="Normal"/>
    <w:link w:val="aa"/>
    <w:uiPriority w:val="99"/>
    <w:unhideWhenUsed/>
    <w:rsid w:val="000554ce"/>
    <w:pPr>
      <w:tabs>
        <w:tab w:val="clear" w:pos="708"/>
        <w:tab w:val="center" w:pos="4677" w:leader="none"/>
        <w:tab w:val="right" w:pos="9355" w:leader="none"/>
      </w:tabs>
    </w:pPr>
    <w:rPr>
      <w:rFonts w:ascii="Calibri" w:hAnsi="Calibri" w:eastAsia="Calibri" w:cs="Times New Roman"/>
    </w:rPr>
  </w:style>
  <w:style w:type="paragraph" w:styleId="Style2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6">
    <w:name w:val="Table Grid"/>
    <w:basedOn w:val="a1"/>
    <w:uiPriority w:val="59"/>
    <w:rsid w:val="000554c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us.gov.ru/" TargetMode="External"/><Relationship Id="rId3" Type="http://schemas.openxmlformats.org/officeDocument/2006/relationships/hyperlink" Target="http://www.bus.gov.ru/" TargetMode="External"/><Relationship Id="rId4" Type="http://schemas.openxmlformats.org/officeDocument/2006/relationships/hyperlink" Target="http://www.bus.gov.ru/" TargetMode="External"/><Relationship Id="rId5" Type="http://schemas.openxmlformats.org/officeDocument/2006/relationships/hyperlink" Target="http://www.raduzhnyi-city.ru/" TargetMode="External"/><Relationship Id="rId6" Type="http://schemas.openxmlformats.org/officeDocument/2006/relationships/image" Target="media/image1.wmf"/><Relationship Id="rId7" Type="http://schemas.openxmlformats.org/officeDocument/2006/relationships/image" Target="media/image2.wmf"/><Relationship Id="rId8" Type="http://schemas.openxmlformats.org/officeDocument/2006/relationships/image" Target="media/image3.wmf"/><Relationship Id="rId9" Type="http://schemas.openxmlformats.org/officeDocument/2006/relationships/image" Target="media/image4.wmf"/><Relationship Id="rId10" Type="http://schemas.openxmlformats.org/officeDocument/2006/relationships/image" Target="media/image5.wmf"/><Relationship Id="rId11" Type="http://schemas.openxmlformats.org/officeDocument/2006/relationships/image" Target="media/image6.wmf"/><Relationship Id="rId12" Type="http://schemas.openxmlformats.org/officeDocument/2006/relationships/hyperlink" Target="http://www.bus.gov.ru/" TargetMode="External"/><Relationship Id="rId13" Type="http://schemas.openxmlformats.org/officeDocument/2006/relationships/hyperlink" Target="consultantplus://offline/ref=1FDEA6BBD4F232C9BC2BA8883DD77CCE88CDCD350C60EDFBA18D8CD9961BE8716A51170DFA3D742BK5V0M" TargetMode="External"/><Relationship Id="rId14" Type="http://schemas.openxmlformats.org/officeDocument/2006/relationships/hyperlink" Target="consultantplus://offline/ref=6C839D2B84E284D96F6DC410DFF3D4846432DB37BCA9E1F409259C2BEB1DB4DA158726BF94ABC608BFA46904K4SDN" TargetMode="External"/><Relationship Id="rId15" Type="http://schemas.openxmlformats.org/officeDocument/2006/relationships/image" Target="media/image7.wmf"/><Relationship Id="rId16" Type="http://schemas.openxmlformats.org/officeDocument/2006/relationships/image" Target="media/image8.wmf"/><Relationship Id="rId17" Type="http://schemas.openxmlformats.org/officeDocument/2006/relationships/image" Target="media/image9.wmf"/><Relationship Id="rId18" Type="http://schemas.openxmlformats.org/officeDocument/2006/relationships/hyperlink" Target="consultantplus://offline/ref=CD43723602055BEFA5AC24E21CDFA4E242D3A0FAA6782F00F7B6082B8DuCh8F" TargetMode="External"/><Relationship Id="rId19" Type="http://schemas.openxmlformats.org/officeDocument/2006/relationships/hyperlink" Target="consultantplus://offline/ref=73F059D0D3F7B7964D62E909569F8DCEEDE238E2FF40D483302AF7D8F1gCyBM" TargetMode="External"/><Relationship Id="rId20" Type="http://schemas.openxmlformats.org/officeDocument/2006/relationships/footer" Target="footer1.xml"/><Relationship Id="rId21" Type="http://schemas.openxmlformats.org/officeDocument/2006/relationships/hyperlink" Target="consultantplus://offline/ref=CD43723602055BEFA5AC24E21CDFA4E242D3A0FAA6782F00F7B6082B8DuCh8F" TargetMode="External"/><Relationship Id="rId22" Type="http://schemas.openxmlformats.org/officeDocument/2006/relationships/hyperlink" Target="consultantplus://offline/ref=72D75486400F4F30010ABF086698BCC7CB8CE799EC2CE87A35C5B9760FFC19N" TargetMode="External"/><Relationship Id="rId23" Type="http://schemas.openxmlformats.org/officeDocument/2006/relationships/hyperlink" Target="consultantplus://offline/ref=CD43723602055BEFA5AC24E21CDFA4E242D3A0FAA6782F00F7B6082B8DuCh8F" TargetMode="External"/><Relationship Id="rId24" Type="http://schemas.openxmlformats.org/officeDocument/2006/relationships/footer" Target="footer2.xml"/><Relationship Id="rId25" Type="http://schemas.openxmlformats.org/officeDocument/2006/relationships/hyperlink" Target="consultantplus://offline/ref=CD43723602055BEFA5AC24E21CDFA4E242D3A0FAA6782F00F7B6082B8DuCh8F" TargetMode="External"/><Relationship Id="rId26" Type="http://schemas.openxmlformats.org/officeDocument/2006/relationships/hyperlink" Target="consultantplus://offline/ref=CD43723602055BEFA5AC24E21CDFA4E242D3A0FAA6782F00F7B6082B8DuCh8F" TargetMode="Externa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26A2B-D321-4352-9FF1-318BC9DC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LibreOffice/7.0.4.2$Windows_X86_64 LibreOffice_project/dcf040e67528d9187c66b2379df5ea4407429775</Application>
  <AppVersion>15.0000</AppVersion>
  <Pages>23</Pages>
  <Words>5043</Words>
  <Characters>40549</Characters>
  <CharactersWithSpaces>47159</CharactersWithSpaces>
  <Paragraphs>924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2017-12-26T12:16:00Z</dcterms:created>
  <dc:creator>adm7</dc:creator>
  <dc:description/>
  <dc:language>ru-RU</dc:language>
  <cp:lastModifiedBy/>
  <cp:lastPrinted>2017-12-05T13:10:00Z</cp:lastPrinted>
  <dcterms:modified xsi:type="dcterms:W3CDTF">2021-03-17T17:33:14Z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