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B6" w:rsidRDefault="00CC46B6" w:rsidP="00CC46B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20865" w:rsidRPr="00795242">
        <w:rPr>
          <w:b/>
          <w:sz w:val="28"/>
          <w:szCs w:val="28"/>
        </w:rPr>
        <w:t>тоги</w:t>
      </w:r>
      <w:r w:rsidR="00FA281F" w:rsidRPr="00795242">
        <w:rPr>
          <w:b/>
          <w:sz w:val="28"/>
          <w:szCs w:val="28"/>
        </w:rPr>
        <w:t xml:space="preserve"> </w:t>
      </w:r>
      <w:r w:rsidR="00447203" w:rsidRPr="00795242">
        <w:rPr>
          <w:b/>
          <w:sz w:val="28"/>
          <w:szCs w:val="28"/>
        </w:rPr>
        <w:t>с</w:t>
      </w:r>
      <w:r w:rsidR="00FA281F" w:rsidRPr="00795242">
        <w:rPr>
          <w:b/>
          <w:sz w:val="28"/>
          <w:szCs w:val="28"/>
        </w:rPr>
        <w:t>оциально – экономическо</w:t>
      </w:r>
      <w:r w:rsidR="00447203" w:rsidRPr="00795242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FA281F" w:rsidRPr="00795242">
        <w:rPr>
          <w:b/>
          <w:sz w:val="28"/>
          <w:szCs w:val="28"/>
        </w:rPr>
        <w:t>развития за 2019г.</w:t>
      </w:r>
      <w:r w:rsidR="00D20865" w:rsidRPr="00795242">
        <w:rPr>
          <w:b/>
          <w:sz w:val="28"/>
          <w:szCs w:val="28"/>
        </w:rPr>
        <w:t xml:space="preserve"> </w:t>
      </w:r>
    </w:p>
    <w:p w:rsidR="00FA281F" w:rsidRPr="00795242" w:rsidRDefault="00FA281F" w:rsidP="00CC46B6">
      <w:pPr>
        <w:ind w:firstLine="720"/>
        <w:jc w:val="center"/>
        <w:rPr>
          <w:b/>
          <w:sz w:val="28"/>
          <w:szCs w:val="28"/>
        </w:rPr>
      </w:pPr>
      <w:r w:rsidRPr="00795242">
        <w:rPr>
          <w:b/>
          <w:sz w:val="28"/>
          <w:szCs w:val="28"/>
        </w:rPr>
        <w:t>ЗАТО город Радужный Владимирской области.</w:t>
      </w:r>
    </w:p>
    <w:p w:rsidR="00FA281F" w:rsidRPr="00795242" w:rsidRDefault="00FA281F" w:rsidP="00FA281F">
      <w:pPr>
        <w:ind w:firstLine="720"/>
        <w:jc w:val="center"/>
        <w:rPr>
          <w:b/>
          <w:sz w:val="28"/>
          <w:szCs w:val="28"/>
        </w:rPr>
      </w:pPr>
    </w:p>
    <w:p w:rsidR="00D20865" w:rsidRPr="00795242" w:rsidRDefault="00D20865" w:rsidP="00D20865">
      <w:pPr>
        <w:ind w:firstLine="720"/>
        <w:jc w:val="both"/>
        <w:rPr>
          <w:b/>
          <w:sz w:val="28"/>
          <w:szCs w:val="28"/>
          <w:u w:val="single"/>
        </w:rPr>
      </w:pPr>
      <w:r w:rsidRPr="00795242">
        <w:rPr>
          <w:b/>
          <w:sz w:val="28"/>
          <w:szCs w:val="28"/>
          <w:u w:val="single"/>
        </w:rPr>
        <w:t xml:space="preserve">Основные показатели социально-экономического развития города </w:t>
      </w: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Общая численность </w:t>
      </w:r>
      <w:proofErr w:type="gramStart"/>
      <w:r w:rsidRPr="00795242">
        <w:rPr>
          <w:sz w:val="28"/>
          <w:szCs w:val="28"/>
        </w:rPr>
        <w:t>населения</w:t>
      </w:r>
      <w:proofErr w:type="gramEnd"/>
      <w:r w:rsidRPr="00795242">
        <w:rPr>
          <w:sz w:val="28"/>
          <w:szCs w:val="28"/>
        </w:rPr>
        <w:t xml:space="preserve"> ЗАТО г. Радужный Владимирской области на 01.01.2019 года по данным статистики составляет 18 470 человек, в т.ч. 9 467 человека трудоспособного возраста.</w:t>
      </w:r>
    </w:p>
    <w:p w:rsidR="00D20865" w:rsidRDefault="00D20865" w:rsidP="00D20865">
      <w:pPr>
        <w:ind w:firstLine="720"/>
        <w:jc w:val="both"/>
        <w:rPr>
          <w:rStyle w:val="a4"/>
          <w:b w:val="0"/>
          <w:sz w:val="28"/>
          <w:szCs w:val="28"/>
        </w:rPr>
      </w:pPr>
      <w:r w:rsidRPr="00795242">
        <w:rPr>
          <w:sz w:val="28"/>
          <w:szCs w:val="28"/>
        </w:rPr>
        <w:t xml:space="preserve">В соответствии с данными комитета государственной статистики к </w:t>
      </w:r>
      <w:r w:rsidRPr="00795242">
        <w:rPr>
          <w:bCs/>
          <w:sz w:val="28"/>
          <w:szCs w:val="28"/>
        </w:rPr>
        <w:t xml:space="preserve">ведущим предприятиям города относятся </w:t>
      </w:r>
      <w:r w:rsidRPr="00795242">
        <w:rPr>
          <w:sz w:val="28"/>
          <w:szCs w:val="28"/>
        </w:rPr>
        <w:t>Федеральное казенное предприятие «Государственный лазерный полигон «Радуга</w:t>
      </w:r>
      <w:r w:rsidRPr="00795242">
        <w:rPr>
          <w:b/>
          <w:sz w:val="28"/>
          <w:szCs w:val="28"/>
        </w:rPr>
        <w:t xml:space="preserve">», </w:t>
      </w:r>
      <w:r w:rsidRPr="00795242">
        <w:rPr>
          <w:rStyle w:val="a4"/>
          <w:b w:val="0"/>
          <w:sz w:val="28"/>
          <w:szCs w:val="28"/>
        </w:rPr>
        <w:t>ООО «Владимирский стандарт», ЗАО «</w:t>
      </w:r>
      <w:proofErr w:type="spellStart"/>
      <w:r w:rsidRPr="00795242">
        <w:rPr>
          <w:rStyle w:val="a4"/>
          <w:b w:val="0"/>
          <w:sz w:val="28"/>
          <w:szCs w:val="28"/>
        </w:rPr>
        <w:t>Радугаэнерго</w:t>
      </w:r>
      <w:proofErr w:type="spellEnd"/>
      <w:r w:rsidRPr="00795242">
        <w:rPr>
          <w:rStyle w:val="a4"/>
          <w:b w:val="0"/>
          <w:sz w:val="28"/>
          <w:szCs w:val="28"/>
        </w:rPr>
        <w:t>», ООО "ОРИОН-Р", ООО "РАДУГАПРИБОР".</w:t>
      </w:r>
    </w:p>
    <w:p w:rsidR="00CC46B6" w:rsidRPr="00795242" w:rsidRDefault="00CC46B6" w:rsidP="00D20865">
      <w:pPr>
        <w:ind w:firstLine="720"/>
        <w:jc w:val="both"/>
        <w:rPr>
          <w:rStyle w:val="a4"/>
          <w:b w:val="0"/>
          <w:sz w:val="28"/>
          <w:szCs w:val="28"/>
        </w:rPr>
      </w:pP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b/>
          <w:sz w:val="28"/>
          <w:szCs w:val="28"/>
        </w:rPr>
        <w:t>Объем отгруженных</w:t>
      </w:r>
      <w:r w:rsidRPr="00795242"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2019года к аналогичному периоду прошлого года, по видам экономической деятельности составил:</w:t>
      </w: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sz w:val="28"/>
          <w:szCs w:val="28"/>
        </w:rPr>
        <w:t>-</w:t>
      </w:r>
      <w:r w:rsidR="00795242" w:rsidRPr="00795242">
        <w:rPr>
          <w:sz w:val="28"/>
          <w:szCs w:val="28"/>
        </w:rPr>
        <w:t xml:space="preserve"> обрабатывающие производства – </w:t>
      </w:r>
      <w:r w:rsidR="00CC46B6">
        <w:rPr>
          <w:sz w:val="28"/>
          <w:szCs w:val="28"/>
        </w:rPr>
        <w:t>166,6</w:t>
      </w:r>
      <w:r w:rsidRPr="00795242">
        <w:rPr>
          <w:sz w:val="28"/>
          <w:szCs w:val="28"/>
        </w:rPr>
        <w:t>% (</w:t>
      </w:r>
      <w:r w:rsidR="00CC46B6">
        <w:rPr>
          <w:sz w:val="28"/>
          <w:szCs w:val="28"/>
        </w:rPr>
        <w:t>12 049,4</w:t>
      </w:r>
      <w:r w:rsidRPr="00795242">
        <w:rPr>
          <w:sz w:val="28"/>
          <w:szCs w:val="28"/>
        </w:rPr>
        <w:t>млн. рублей);</w:t>
      </w: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- производство пищевых продуктов – </w:t>
      </w:r>
      <w:r w:rsidR="00CC46B6">
        <w:rPr>
          <w:sz w:val="28"/>
          <w:szCs w:val="28"/>
        </w:rPr>
        <w:t>173,4</w:t>
      </w:r>
      <w:r w:rsidRPr="00795242">
        <w:rPr>
          <w:sz w:val="28"/>
          <w:szCs w:val="28"/>
        </w:rPr>
        <w:t>%;</w:t>
      </w: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- производство и распределение электроэнергии, газа и воды – </w:t>
      </w:r>
      <w:r w:rsidR="00CC46B6">
        <w:rPr>
          <w:sz w:val="28"/>
          <w:szCs w:val="28"/>
        </w:rPr>
        <w:t>104,1</w:t>
      </w:r>
      <w:r w:rsidRPr="00795242">
        <w:rPr>
          <w:sz w:val="28"/>
          <w:szCs w:val="28"/>
        </w:rPr>
        <w:t>%;</w:t>
      </w:r>
    </w:p>
    <w:p w:rsidR="00D20865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- по виду деятельности «строительство» – </w:t>
      </w:r>
      <w:r w:rsidR="00CC46B6">
        <w:rPr>
          <w:sz w:val="28"/>
          <w:szCs w:val="28"/>
        </w:rPr>
        <w:t>74,5</w:t>
      </w:r>
      <w:r w:rsidR="00795242" w:rsidRPr="00795242">
        <w:rPr>
          <w:sz w:val="28"/>
          <w:szCs w:val="28"/>
        </w:rPr>
        <w:t>%.</w:t>
      </w:r>
    </w:p>
    <w:p w:rsidR="00CC46B6" w:rsidRPr="00795242" w:rsidRDefault="00CC46B6" w:rsidP="00D20865">
      <w:pPr>
        <w:ind w:firstLine="720"/>
        <w:jc w:val="both"/>
        <w:rPr>
          <w:sz w:val="28"/>
          <w:szCs w:val="28"/>
        </w:rPr>
      </w:pPr>
    </w:p>
    <w:p w:rsidR="00D20865" w:rsidRPr="00795242" w:rsidRDefault="00D20865" w:rsidP="00D20865">
      <w:pPr>
        <w:ind w:firstLine="720"/>
        <w:jc w:val="both"/>
        <w:rPr>
          <w:sz w:val="28"/>
          <w:szCs w:val="28"/>
        </w:rPr>
      </w:pPr>
      <w:r w:rsidRPr="00795242">
        <w:rPr>
          <w:b/>
          <w:sz w:val="28"/>
          <w:szCs w:val="28"/>
        </w:rPr>
        <w:t>Потребительский рынок.</w:t>
      </w:r>
      <w:r w:rsidRPr="00795242">
        <w:rPr>
          <w:sz w:val="28"/>
          <w:szCs w:val="28"/>
        </w:rPr>
        <w:t xml:space="preserve"> Оборот розничной торговли во всех каналах реализации за 201</w:t>
      </w:r>
      <w:r w:rsidR="00795242" w:rsidRPr="00795242">
        <w:rPr>
          <w:sz w:val="28"/>
          <w:szCs w:val="28"/>
        </w:rPr>
        <w:t>9</w:t>
      </w:r>
      <w:r w:rsidRPr="00795242">
        <w:rPr>
          <w:sz w:val="28"/>
          <w:szCs w:val="28"/>
        </w:rPr>
        <w:t xml:space="preserve"> года составил </w:t>
      </w:r>
      <w:r w:rsidR="00CC46B6">
        <w:rPr>
          <w:sz w:val="28"/>
          <w:szCs w:val="28"/>
        </w:rPr>
        <w:t>1 205,1</w:t>
      </w:r>
      <w:r w:rsidRPr="00795242">
        <w:rPr>
          <w:sz w:val="28"/>
          <w:szCs w:val="28"/>
        </w:rPr>
        <w:t xml:space="preserve"> млн. рублей, что </w:t>
      </w:r>
      <w:r w:rsidR="00795242" w:rsidRPr="00795242">
        <w:rPr>
          <w:sz w:val="28"/>
          <w:szCs w:val="28"/>
        </w:rPr>
        <w:t xml:space="preserve">в товарной массе на </w:t>
      </w:r>
      <w:r w:rsidR="00CC46B6">
        <w:rPr>
          <w:sz w:val="28"/>
          <w:szCs w:val="28"/>
        </w:rPr>
        <w:t>1,8</w:t>
      </w:r>
      <w:r w:rsidRPr="00795242">
        <w:rPr>
          <w:sz w:val="28"/>
          <w:szCs w:val="28"/>
        </w:rPr>
        <w:t xml:space="preserve"> % </w:t>
      </w:r>
      <w:r w:rsidR="00795242" w:rsidRPr="00795242">
        <w:rPr>
          <w:sz w:val="28"/>
          <w:szCs w:val="28"/>
        </w:rPr>
        <w:t>меньше</w:t>
      </w:r>
      <w:r w:rsidRPr="00795242">
        <w:rPr>
          <w:sz w:val="28"/>
          <w:szCs w:val="28"/>
        </w:rPr>
        <w:t xml:space="preserve"> по сравнению с аналогичным периодом 201</w:t>
      </w:r>
      <w:r w:rsidR="00795242" w:rsidRPr="00795242">
        <w:rPr>
          <w:sz w:val="28"/>
          <w:szCs w:val="28"/>
        </w:rPr>
        <w:t>8</w:t>
      </w:r>
      <w:r w:rsidRPr="00795242">
        <w:rPr>
          <w:sz w:val="28"/>
          <w:szCs w:val="28"/>
        </w:rPr>
        <w:t xml:space="preserve"> года.</w:t>
      </w:r>
    </w:p>
    <w:p w:rsidR="00D20865" w:rsidRPr="00795242" w:rsidRDefault="00D20865" w:rsidP="00D20865">
      <w:pPr>
        <w:ind w:firstLine="851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Оборот розничной торговли, без субъектов малого предпринимательства за данный период составил </w:t>
      </w:r>
      <w:r w:rsidR="0057663D">
        <w:rPr>
          <w:sz w:val="28"/>
          <w:szCs w:val="28"/>
        </w:rPr>
        <w:t>824,9</w:t>
      </w:r>
      <w:r w:rsidRPr="00795242">
        <w:rPr>
          <w:sz w:val="28"/>
          <w:szCs w:val="28"/>
        </w:rPr>
        <w:t xml:space="preserve"> млн. руб., что на </w:t>
      </w:r>
      <w:r w:rsidR="0057663D">
        <w:rPr>
          <w:sz w:val="28"/>
          <w:szCs w:val="28"/>
        </w:rPr>
        <w:t>6,9</w:t>
      </w:r>
      <w:r w:rsidRPr="00795242">
        <w:rPr>
          <w:sz w:val="28"/>
          <w:szCs w:val="28"/>
        </w:rPr>
        <w:t xml:space="preserve"> % </w:t>
      </w:r>
      <w:r w:rsidR="00795242" w:rsidRPr="00795242">
        <w:rPr>
          <w:sz w:val="28"/>
          <w:szCs w:val="28"/>
        </w:rPr>
        <w:t>меньше</w:t>
      </w:r>
      <w:r w:rsidRPr="00795242">
        <w:rPr>
          <w:sz w:val="28"/>
          <w:szCs w:val="28"/>
        </w:rPr>
        <w:t>, чем в 201</w:t>
      </w:r>
      <w:r w:rsidR="00795242" w:rsidRPr="00795242">
        <w:rPr>
          <w:sz w:val="28"/>
          <w:szCs w:val="28"/>
        </w:rPr>
        <w:t>8</w:t>
      </w:r>
      <w:r w:rsidRPr="00795242">
        <w:rPr>
          <w:sz w:val="28"/>
          <w:szCs w:val="28"/>
        </w:rPr>
        <w:t> года.</w:t>
      </w:r>
    </w:p>
    <w:p w:rsidR="00D20865" w:rsidRPr="00795242" w:rsidRDefault="00D20865" w:rsidP="00D20865">
      <w:pPr>
        <w:ind w:firstLine="851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Пищевых продуктов, включая напитки и табачные изделия, продано на </w:t>
      </w:r>
      <w:r w:rsidR="0057663D">
        <w:rPr>
          <w:sz w:val="28"/>
          <w:szCs w:val="28"/>
        </w:rPr>
        <w:t>625,2</w:t>
      </w:r>
      <w:r w:rsidRPr="00795242">
        <w:rPr>
          <w:sz w:val="28"/>
          <w:szCs w:val="28"/>
        </w:rPr>
        <w:t xml:space="preserve"> млн. руб., непродовольственных товаров на </w:t>
      </w:r>
      <w:r w:rsidR="0057663D">
        <w:rPr>
          <w:sz w:val="28"/>
          <w:szCs w:val="28"/>
        </w:rPr>
        <w:t>199,7</w:t>
      </w:r>
      <w:r w:rsidRPr="00795242">
        <w:rPr>
          <w:sz w:val="28"/>
          <w:szCs w:val="28"/>
        </w:rPr>
        <w:t xml:space="preserve"> млн. рублей. В товарной массе это составило соответственно </w:t>
      </w:r>
      <w:r w:rsidR="00795242" w:rsidRPr="00795242">
        <w:rPr>
          <w:sz w:val="28"/>
          <w:szCs w:val="28"/>
        </w:rPr>
        <w:t>93</w:t>
      </w:r>
      <w:r w:rsidR="0057663D">
        <w:rPr>
          <w:sz w:val="28"/>
          <w:szCs w:val="28"/>
        </w:rPr>
        <w:t>,4</w:t>
      </w:r>
      <w:r w:rsidRPr="00795242">
        <w:rPr>
          <w:sz w:val="28"/>
          <w:szCs w:val="28"/>
        </w:rPr>
        <w:t xml:space="preserve">% и </w:t>
      </w:r>
      <w:r w:rsidR="0057663D">
        <w:rPr>
          <w:sz w:val="28"/>
          <w:szCs w:val="28"/>
        </w:rPr>
        <w:t>90,2</w:t>
      </w:r>
      <w:r w:rsidRPr="00795242">
        <w:rPr>
          <w:sz w:val="28"/>
          <w:szCs w:val="28"/>
        </w:rPr>
        <w:t xml:space="preserve">% к </w:t>
      </w:r>
      <w:r w:rsidR="0057663D">
        <w:rPr>
          <w:sz w:val="28"/>
          <w:szCs w:val="28"/>
        </w:rPr>
        <w:t xml:space="preserve">аналогичному периоду </w:t>
      </w:r>
      <w:r w:rsidRPr="00795242">
        <w:rPr>
          <w:sz w:val="28"/>
          <w:szCs w:val="28"/>
        </w:rPr>
        <w:t>201</w:t>
      </w:r>
      <w:r w:rsidR="00795242" w:rsidRPr="00795242">
        <w:rPr>
          <w:sz w:val="28"/>
          <w:szCs w:val="28"/>
        </w:rPr>
        <w:t>8</w:t>
      </w:r>
      <w:r w:rsidRPr="00795242">
        <w:rPr>
          <w:sz w:val="28"/>
          <w:szCs w:val="28"/>
        </w:rPr>
        <w:t xml:space="preserve"> года.</w:t>
      </w:r>
    </w:p>
    <w:p w:rsidR="00D20865" w:rsidRDefault="00D20865" w:rsidP="00D20865">
      <w:pPr>
        <w:ind w:firstLine="851"/>
        <w:jc w:val="both"/>
        <w:rPr>
          <w:sz w:val="28"/>
          <w:szCs w:val="28"/>
        </w:rPr>
      </w:pPr>
      <w:r w:rsidRPr="00795242">
        <w:rPr>
          <w:sz w:val="28"/>
          <w:szCs w:val="28"/>
        </w:rPr>
        <w:t xml:space="preserve">Оборот общественного питания без субъектов малого предпринимательства в 2018 году </w:t>
      </w:r>
      <w:r w:rsidR="00795242" w:rsidRPr="00795242">
        <w:rPr>
          <w:sz w:val="28"/>
          <w:szCs w:val="28"/>
        </w:rPr>
        <w:t>сократился на</w:t>
      </w:r>
      <w:r w:rsidRPr="00795242">
        <w:rPr>
          <w:sz w:val="28"/>
          <w:szCs w:val="28"/>
        </w:rPr>
        <w:t xml:space="preserve"> </w:t>
      </w:r>
      <w:r w:rsidR="0057663D">
        <w:rPr>
          <w:sz w:val="28"/>
          <w:szCs w:val="28"/>
        </w:rPr>
        <w:t>5,4</w:t>
      </w:r>
      <w:r w:rsidRPr="00795242">
        <w:rPr>
          <w:sz w:val="28"/>
          <w:szCs w:val="28"/>
        </w:rPr>
        <w:t xml:space="preserve">% </w:t>
      </w:r>
      <w:r w:rsidR="00D04E33">
        <w:rPr>
          <w:sz w:val="28"/>
          <w:szCs w:val="28"/>
        </w:rPr>
        <w:t xml:space="preserve"> </w:t>
      </w:r>
      <w:r w:rsidRPr="00795242">
        <w:rPr>
          <w:sz w:val="28"/>
          <w:szCs w:val="28"/>
        </w:rPr>
        <w:t xml:space="preserve">по сравнению с январем – </w:t>
      </w:r>
      <w:r w:rsidR="0057663D">
        <w:rPr>
          <w:sz w:val="28"/>
          <w:szCs w:val="28"/>
        </w:rPr>
        <w:t>декабрем</w:t>
      </w:r>
      <w:r w:rsidRPr="00795242">
        <w:rPr>
          <w:sz w:val="28"/>
          <w:szCs w:val="28"/>
        </w:rPr>
        <w:t xml:space="preserve"> 201</w:t>
      </w:r>
      <w:r w:rsidR="00795242" w:rsidRPr="00795242">
        <w:rPr>
          <w:sz w:val="28"/>
          <w:szCs w:val="28"/>
        </w:rPr>
        <w:t>8</w:t>
      </w:r>
      <w:r w:rsidRPr="00795242">
        <w:rPr>
          <w:sz w:val="28"/>
          <w:szCs w:val="28"/>
        </w:rPr>
        <w:t> года.</w:t>
      </w:r>
    </w:p>
    <w:p w:rsidR="0057663D" w:rsidRPr="00795242" w:rsidRDefault="0057663D" w:rsidP="00D20865">
      <w:pPr>
        <w:ind w:firstLine="851"/>
        <w:jc w:val="both"/>
        <w:rPr>
          <w:sz w:val="28"/>
          <w:szCs w:val="28"/>
        </w:rPr>
      </w:pPr>
    </w:p>
    <w:p w:rsidR="00D20865" w:rsidRPr="007249B8" w:rsidRDefault="00D20865" w:rsidP="00D20865">
      <w:pPr>
        <w:ind w:firstLine="709"/>
        <w:contextualSpacing/>
        <w:jc w:val="both"/>
        <w:rPr>
          <w:b/>
          <w:sz w:val="28"/>
          <w:szCs w:val="28"/>
        </w:rPr>
      </w:pPr>
      <w:r w:rsidRPr="007249B8">
        <w:rPr>
          <w:b/>
          <w:sz w:val="28"/>
          <w:szCs w:val="28"/>
        </w:rPr>
        <w:t xml:space="preserve">Транспорт. </w:t>
      </w:r>
    </w:p>
    <w:p w:rsidR="00D20865" w:rsidRPr="007249B8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t xml:space="preserve">За </w:t>
      </w:r>
      <w:r w:rsidR="00D04E33">
        <w:rPr>
          <w:sz w:val="28"/>
          <w:szCs w:val="28"/>
        </w:rPr>
        <w:t xml:space="preserve"> </w:t>
      </w:r>
      <w:r w:rsidRPr="007249B8">
        <w:rPr>
          <w:sz w:val="28"/>
          <w:szCs w:val="28"/>
        </w:rPr>
        <w:t>201</w:t>
      </w:r>
      <w:r w:rsidR="007249B8" w:rsidRPr="007249B8">
        <w:rPr>
          <w:sz w:val="28"/>
          <w:szCs w:val="28"/>
        </w:rPr>
        <w:t>9</w:t>
      </w:r>
      <w:r w:rsidRPr="007249B8">
        <w:rPr>
          <w:sz w:val="28"/>
          <w:szCs w:val="28"/>
        </w:rPr>
        <w:t xml:space="preserve">г. пассажирооборот автобусного транспорта общего пользования составил </w:t>
      </w:r>
      <w:r w:rsidR="00065979">
        <w:rPr>
          <w:sz w:val="28"/>
          <w:szCs w:val="28"/>
        </w:rPr>
        <w:t>15,3</w:t>
      </w:r>
      <w:r w:rsidR="00983C23">
        <w:rPr>
          <w:sz w:val="28"/>
          <w:szCs w:val="28"/>
        </w:rPr>
        <w:t xml:space="preserve"> млн. пасс-км.</w:t>
      </w:r>
      <w:r w:rsidRPr="007249B8">
        <w:rPr>
          <w:sz w:val="28"/>
          <w:szCs w:val="28"/>
        </w:rPr>
        <w:t xml:space="preserve"> Перевезено пассажиров в количестве </w:t>
      </w:r>
      <w:r w:rsidR="00983C23">
        <w:rPr>
          <w:sz w:val="28"/>
          <w:szCs w:val="28"/>
        </w:rPr>
        <w:t>887,1</w:t>
      </w:r>
      <w:r w:rsidR="007249B8" w:rsidRPr="007249B8">
        <w:rPr>
          <w:sz w:val="28"/>
          <w:szCs w:val="28"/>
        </w:rPr>
        <w:t> </w:t>
      </w:r>
      <w:r w:rsidRPr="007249B8">
        <w:rPr>
          <w:sz w:val="28"/>
          <w:szCs w:val="28"/>
        </w:rPr>
        <w:t xml:space="preserve">тыс. чел. Автобусным транспортом общего пользования во всех видах сообщения выполнено </w:t>
      </w:r>
      <w:r w:rsidR="00983C23">
        <w:rPr>
          <w:sz w:val="28"/>
          <w:szCs w:val="28"/>
        </w:rPr>
        <w:t>25,9</w:t>
      </w:r>
      <w:r w:rsidRPr="007249B8">
        <w:rPr>
          <w:sz w:val="28"/>
          <w:szCs w:val="28"/>
        </w:rPr>
        <w:t xml:space="preserve"> тыс. рейсов, выполнение составляет 99,</w:t>
      </w:r>
      <w:r w:rsidR="007249B8" w:rsidRPr="007249B8">
        <w:rPr>
          <w:sz w:val="28"/>
          <w:szCs w:val="28"/>
        </w:rPr>
        <w:t>9</w:t>
      </w:r>
      <w:r w:rsidRPr="007249B8">
        <w:rPr>
          <w:sz w:val="28"/>
          <w:szCs w:val="28"/>
        </w:rPr>
        <w:t xml:space="preserve">% предусмотренных расписанием. </w:t>
      </w:r>
    </w:p>
    <w:p w:rsidR="00D20865" w:rsidRPr="007249B8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t>Для проезда в январе-</w:t>
      </w:r>
      <w:r w:rsidR="00983C23">
        <w:rPr>
          <w:sz w:val="28"/>
          <w:szCs w:val="28"/>
        </w:rPr>
        <w:t>декабре</w:t>
      </w:r>
      <w:r w:rsidRPr="007249B8">
        <w:rPr>
          <w:sz w:val="28"/>
          <w:szCs w:val="28"/>
        </w:rPr>
        <w:t xml:space="preserve"> 201</w:t>
      </w:r>
      <w:r w:rsidR="007249B8" w:rsidRPr="007249B8">
        <w:rPr>
          <w:sz w:val="28"/>
          <w:szCs w:val="28"/>
        </w:rPr>
        <w:t>9</w:t>
      </w:r>
      <w:r w:rsidRPr="007249B8">
        <w:rPr>
          <w:sz w:val="28"/>
          <w:szCs w:val="28"/>
        </w:rPr>
        <w:t xml:space="preserve"> г. было реализовано: </w:t>
      </w:r>
    </w:p>
    <w:p w:rsidR="00D20865" w:rsidRPr="007249B8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t>1. на пригородный маршрут:</w:t>
      </w:r>
    </w:p>
    <w:p w:rsidR="00D20865" w:rsidRPr="007249B8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t xml:space="preserve">- </w:t>
      </w:r>
      <w:r w:rsidR="00983C23">
        <w:rPr>
          <w:sz w:val="28"/>
          <w:szCs w:val="28"/>
        </w:rPr>
        <w:t>2 076</w:t>
      </w:r>
      <w:r w:rsidRPr="007249B8">
        <w:rPr>
          <w:sz w:val="28"/>
          <w:szCs w:val="28"/>
        </w:rPr>
        <w:t xml:space="preserve"> проездных билета для учащихся и студентов, в том числе </w:t>
      </w:r>
      <w:r w:rsidR="00983C23">
        <w:rPr>
          <w:sz w:val="28"/>
          <w:szCs w:val="28"/>
        </w:rPr>
        <w:t>11</w:t>
      </w:r>
      <w:r w:rsidRPr="007249B8">
        <w:rPr>
          <w:sz w:val="28"/>
          <w:szCs w:val="28"/>
        </w:rPr>
        <w:t xml:space="preserve"> из многодетных семей;</w:t>
      </w:r>
    </w:p>
    <w:p w:rsidR="00D20865" w:rsidRPr="007249B8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t xml:space="preserve">- </w:t>
      </w:r>
      <w:r w:rsidR="00983C23">
        <w:rPr>
          <w:sz w:val="28"/>
          <w:szCs w:val="28"/>
        </w:rPr>
        <w:t>2 005</w:t>
      </w:r>
      <w:r w:rsidRPr="007249B8">
        <w:rPr>
          <w:sz w:val="28"/>
          <w:szCs w:val="28"/>
        </w:rPr>
        <w:t xml:space="preserve"> социальных проездных билета для отдельных категорий граждан;</w:t>
      </w:r>
    </w:p>
    <w:p w:rsidR="00D20865" w:rsidRDefault="00D20865" w:rsidP="00D20865">
      <w:pPr>
        <w:ind w:firstLine="709"/>
        <w:contextualSpacing/>
        <w:jc w:val="both"/>
        <w:rPr>
          <w:sz w:val="28"/>
          <w:szCs w:val="28"/>
        </w:rPr>
      </w:pPr>
      <w:r w:rsidRPr="007249B8">
        <w:rPr>
          <w:sz w:val="28"/>
          <w:szCs w:val="28"/>
        </w:rPr>
        <w:lastRenderedPageBreak/>
        <w:t xml:space="preserve">2. на городской маршрут – </w:t>
      </w:r>
      <w:r w:rsidR="00983C23">
        <w:rPr>
          <w:sz w:val="28"/>
          <w:szCs w:val="28"/>
        </w:rPr>
        <w:t>2 188</w:t>
      </w:r>
      <w:r w:rsidRPr="007249B8">
        <w:rPr>
          <w:sz w:val="28"/>
          <w:szCs w:val="28"/>
        </w:rPr>
        <w:t xml:space="preserve"> билетов.</w:t>
      </w:r>
    </w:p>
    <w:p w:rsidR="00983C23" w:rsidRPr="007249B8" w:rsidRDefault="00983C23" w:rsidP="00D20865">
      <w:pPr>
        <w:ind w:firstLine="709"/>
        <w:contextualSpacing/>
        <w:jc w:val="both"/>
        <w:rPr>
          <w:sz w:val="28"/>
          <w:szCs w:val="28"/>
        </w:rPr>
      </w:pPr>
    </w:p>
    <w:p w:rsidR="00D20865" w:rsidRPr="00293C12" w:rsidRDefault="00D20865" w:rsidP="00D20865">
      <w:pPr>
        <w:ind w:firstLine="720"/>
        <w:jc w:val="both"/>
        <w:rPr>
          <w:b/>
          <w:sz w:val="28"/>
          <w:szCs w:val="28"/>
        </w:rPr>
      </w:pPr>
      <w:r w:rsidRPr="00293C12">
        <w:rPr>
          <w:b/>
          <w:sz w:val="28"/>
          <w:szCs w:val="28"/>
        </w:rPr>
        <w:t xml:space="preserve">Демографическая ситуация. </w:t>
      </w:r>
    </w:p>
    <w:p w:rsidR="00D20865" w:rsidRDefault="00D20865" w:rsidP="00D20865">
      <w:pPr>
        <w:ind w:firstLine="720"/>
        <w:jc w:val="both"/>
        <w:rPr>
          <w:sz w:val="28"/>
          <w:szCs w:val="28"/>
        </w:rPr>
      </w:pPr>
      <w:r w:rsidRPr="00293C12">
        <w:rPr>
          <w:sz w:val="28"/>
          <w:szCs w:val="28"/>
        </w:rPr>
        <w:t>В 201</w:t>
      </w:r>
      <w:r w:rsidR="007249B8" w:rsidRPr="00293C12">
        <w:rPr>
          <w:sz w:val="28"/>
          <w:szCs w:val="28"/>
        </w:rPr>
        <w:t>9</w:t>
      </w:r>
      <w:r w:rsidRPr="00293C12">
        <w:rPr>
          <w:sz w:val="28"/>
          <w:szCs w:val="28"/>
        </w:rPr>
        <w:t xml:space="preserve">г. естественная </w:t>
      </w:r>
      <w:r w:rsidR="00293C12" w:rsidRPr="00293C12">
        <w:rPr>
          <w:sz w:val="28"/>
          <w:szCs w:val="28"/>
        </w:rPr>
        <w:t>убыль</w:t>
      </w:r>
      <w:r w:rsidRPr="00293C12">
        <w:rPr>
          <w:sz w:val="28"/>
          <w:szCs w:val="28"/>
        </w:rPr>
        <w:t xml:space="preserve"> составила </w:t>
      </w:r>
      <w:r w:rsidR="00983C23">
        <w:rPr>
          <w:sz w:val="28"/>
          <w:szCs w:val="28"/>
        </w:rPr>
        <w:t>32</w:t>
      </w:r>
      <w:r w:rsidRPr="00293C12">
        <w:rPr>
          <w:sz w:val="28"/>
          <w:szCs w:val="28"/>
        </w:rPr>
        <w:t xml:space="preserve"> человек</w:t>
      </w:r>
      <w:r w:rsidR="00983C23">
        <w:rPr>
          <w:sz w:val="28"/>
          <w:szCs w:val="28"/>
        </w:rPr>
        <w:t>а</w:t>
      </w:r>
      <w:r w:rsidRPr="00293C12">
        <w:rPr>
          <w:sz w:val="28"/>
          <w:szCs w:val="28"/>
        </w:rPr>
        <w:t xml:space="preserve"> (в аналогичный период 201</w:t>
      </w:r>
      <w:r w:rsidR="00293C12" w:rsidRPr="00293C12">
        <w:rPr>
          <w:sz w:val="28"/>
          <w:szCs w:val="28"/>
        </w:rPr>
        <w:t>8</w:t>
      </w:r>
      <w:r w:rsidRPr="00293C12">
        <w:rPr>
          <w:sz w:val="28"/>
          <w:szCs w:val="28"/>
        </w:rPr>
        <w:t xml:space="preserve">г. была </w:t>
      </w:r>
      <w:r w:rsidR="00293C12" w:rsidRPr="00293C12">
        <w:rPr>
          <w:sz w:val="28"/>
          <w:szCs w:val="28"/>
        </w:rPr>
        <w:t>прибыль</w:t>
      </w:r>
      <w:r w:rsidRPr="00293C12">
        <w:rPr>
          <w:sz w:val="28"/>
          <w:szCs w:val="28"/>
        </w:rPr>
        <w:t xml:space="preserve"> </w:t>
      </w:r>
      <w:r w:rsidR="007B40A6">
        <w:rPr>
          <w:sz w:val="28"/>
          <w:szCs w:val="28"/>
        </w:rPr>
        <w:t>3</w:t>
      </w:r>
      <w:r w:rsidR="00293C12" w:rsidRPr="00293C12">
        <w:rPr>
          <w:sz w:val="28"/>
          <w:szCs w:val="28"/>
        </w:rPr>
        <w:t> </w:t>
      </w:r>
      <w:r w:rsidRPr="00293C12">
        <w:rPr>
          <w:sz w:val="28"/>
          <w:szCs w:val="28"/>
        </w:rPr>
        <w:t xml:space="preserve">чел.). Родилось </w:t>
      </w:r>
      <w:r w:rsidR="007B40A6">
        <w:rPr>
          <w:sz w:val="28"/>
          <w:szCs w:val="28"/>
        </w:rPr>
        <w:t>133</w:t>
      </w:r>
      <w:r w:rsidRPr="00293C12">
        <w:rPr>
          <w:sz w:val="28"/>
          <w:szCs w:val="28"/>
        </w:rPr>
        <w:t xml:space="preserve"> детей, умерло 1</w:t>
      </w:r>
      <w:r w:rsidR="007B40A6">
        <w:rPr>
          <w:sz w:val="28"/>
          <w:szCs w:val="28"/>
        </w:rPr>
        <w:t>65</w:t>
      </w:r>
      <w:r w:rsidRPr="00293C12">
        <w:rPr>
          <w:sz w:val="28"/>
          <w:szCs w:val="28"/>
        </w:rPr>
        <w:t xml:space="preserve"> человек. По сравнению с аналогичным периодом прошлого года коэффициент рождаемости </w:t>
      </w:r>
      <w:r w:rsidR="00293C12" w:rsidRPr="00293C12">
        <w:rPr>
          <w:sz w:val="28"/>
          <w:szCs w:val="28"/>
        </w:rPr>
        <w:t>снизился</w:t>
      </w:r>
      <w:r w:rsidRPr="00293C12">
        <w:rPr>
          <w:sz w:val="28"/>
          <w:szCs w:val="28"/>
        </w:rPr>
        <w:t xml:space="preserve"> </w:t>
      </w:r>
      <w:r w:rsidR="007B40A6">
        <w:rPr>
          <w:sz w:val="28"/>
          <w:szCs w:val="28"/>
        </w:rPr>
        <w:t>в 1,3 раза</w:t>
      </w:r>
      <w:r w:rsidR="00293C12" w:rsidRPr="00293C12">
        <w:rPr>
          <w:sz w:val="28"/>
          <w:szCs w:val="28"/>
        </w:rPr>
        <w:t>.</w:t>
      </w:r>
    </w:p>
    <w:p w:rsidR="007B40A6" w:rsidRPr="00293C12" w:rsidRDefault="007B40A6" w:rsidP="00D20865">
      <w:pPr>
        <w:ind w:firstLine="720"/>
        <w:jc w:val="both"/>
        <w:rPr>
          <w:sz w:val="28"/>
          <w:szCs w:val="28"/>
        </w:rPr>
      </w:pPr>
    </w:p>
    <w:p w:rsidR="00D20865" w:rsidRPr="007E6D5D" w:rsidRDefault="00D20865" w:rsidP="00D20865">
      <w:pPr>
        <w:ind w:firstLine="720"/>
        <w:jc w:val="both"/>
        <w:rPr>
          <w:b/>
          <w:bCs/>
          <w:sz w:val="28"/>
          <w:szCs w:val="28"/>
        </w:rPr>
      </w:pPr>
      <w:r w:rsidRPr="007E6D5D">
        <w:rPr>
          <w:b/>
          <w:bCs/>
          <w:sz w:val="28"/>
          <w:szCs w:val="28"/>
        </w:rPr>
        <w:t>Денежные доходы населения.</w:t>
      </w:r>
    </w:p>
    <w:p w:rsidR="00D20865" w:rsidRPr="007E6D5D" w:rsidRDefault="00D20865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организациях города за январь – </w:t>
      </w:r>
      <w:r w:rsidR="007B40A6">
        <w:rPr>
          <w:sz w:val="28"/>
          <w:szCs w:val="28"/>
        </w:rPr>
        <w:t>декабрь</w:t>
      </w:r>
      <w:r w:rsidRPr="007E6D5D">
        <w:rPr>
          <w:sz w:val="28"/>
          <w:szCs w:val="28"/>
        </w:rPr>
        <w:t xml:space="preserve"> 201</w:t>
      </w:r>
      <w:r w:rsidR="00293C12" w:rsidRPr="007E6D5D">
        <w:rPr>
          <w:sz w:val="28"/>
          <w:szCs w:val="28"/>
        </w:rPr>
        <w:t>9</w:t>
      </w:r>
      <w:r w:rsidRPr="007E6D5D">
        <w:rPr>
          <w:sz w:val="28"/>
          <w:szCs w:val="28"/>
        </w:rPr>
        <w:t xml:space="preserve"> года составила – </w:t>
      </w:r>
      <w:r w:rsidR="004E5896">
        <w:rPr>
          <w:sz w:val="28"/>
          <w:szCs w:val="28"/>
        </w:rPr>
        <w:t>37 022,6</w:t>
      </w:r>
      <w:r w:rsidRPr="007E6D5D">
        <w:rPr>
          <w:sz w:val="28"/>
          <w:szCs w:val="28"/>
        </w:rPr>
        <w:t> рубля и увеличилась по сравнению с аналогичным периодом 201</w:t>
      </w:r>
      <w:r w:rsidR="00293C12" w:rsidRPr="007E6D5D">
        <w:rPr>
          <w:sz w:val="28"/>
          <w:szCs w:val="28"/>
        </w:rPr>
        <w:t>8</w:t>
      </w:r>
      <w:r w:rsidRPr="007E6D5D">
        <w:rPr>
          <w:sz w:val="28"/>
          <w:szCs w:val="28"/>
        </w:rPr>
        <w:t xml:space="preserve">г. на </w:t>
      </w:r>
      <w:r w:rsidR="007B40A6">
        <w:rPr>
          <w:sz w:val="28"/>
          <w:szCs w:val="28"/>
        </w:rPr>
        <w:t>12,</w:t>
      </w:r>
      <w:r w:rsidR="004E5896">
        <w:rPr>
          <w:sz w:val="28"/>
          <w:szCs w:val="28"/>
        </w:rPr>
        <w:t>5</w:t>
      </w:r>
      <w:r w:rsidRPr="007E6D5D">
        <w:rPr>
          <w:sz w:val="28"/>
          <w:szCs w:val="28"/>
        </w:rPr>
        <w:t>%., в т.ч. по видам экономической деятельности:</w:t>
      </w:r>
    </w:p>
    <w:p w:rsidR="00D20865" w:rsidRPr="007E6D5D" w:rsidRDefault="00D20865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- обрабатывающие производства – </w:t>
      </w:r>
      <w:r w:rsidR="009702B2" w:rsidRPr="007E6D5D">
        <w:rPr>
          <w:sz w:val="28"/>
          <w:szCs w:val="28"/>
        </w:rPr>
        <w:t>43</w:t>
      </w:r>
      <w:r w:rsidR="007B40A6">
        <w:rPr>
          <w:sz w:val="28"/>
          <w:szCs w:val="28"/>
        </w:rPr>
        <w:t> 584,2</w:t>
      </w:r>
      <w:r w:rsidRPr="007E6D5D">
        <w:rPr>
          <w:sz w:val="28"/>
          <w:szCs w:val="28"/>
        </w:rPr>
        <w:t> руб.;</w:t>
      </w:r>
    </w:p>
    <w:p w:rsidR="00D20865" w:rsidRPr="007E6D5D" w:rsidRDefault="00D20865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- оптовая и розничная торговля – </w:t>
      </w:r>
      <w:r w:rsidR="009702B2" w:rsidRPr="007E6D5D">
        <w:rPr>
          <w:sz w:val="28"/>
          <w:szCs w:val="28"/>
        </w:rPr>
        <w:t>22 750,1</w:t>
      </w:r>
      <w:r w:rsidRPr="007E6D5D">
        <w:rPr>
          <w:sz w:val="28"/>
          <w:szCs w:val="28"/>
        </w:rPr>
        <w:t> руб.;</w:t>
      </w:r>
    </w:p>
    <w:p w:rsidR="00D20865" w:rsidRPr="007E6D5D" w:rsidRDefault="00D20865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- образование – </w:t>
      </w:r>
      <w:r w:rsidR="004E5896">
        <w:rPr>
          <w:sz w:val="28"/>
          <w:szCs w:val="28"/>
        </w:rPr>
        <w:t>29 641,8</w:t>
      </w:r>
      <w:r w:rsidRPr="007E6D5D">
        <w:rPr>
          <w:sz w:val="28"/>
          <w:szCs w:val="28"/>
        </w:rPr>
        <w:t> руб.;</w:t>
      </w:r>
    </w:p>
    <w:p w:rsidR="00D20865" w:rsidRPr="007E6D5D" w:rsidRDefault="00D20865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>- здравоохранение и предоставление социальных услуг -2</w:t>
      </w:r>
      <w:r w:rsidR="009702B2" w:rsidRPr="007E6D5D">
        <w:rPr>
          <w:sz w:val="28"/>
          <w:szCs w:val="28"/>
        </w:rPr>
        <w:t>8</w:t>
      </w:r>
      <w:r w:rsidR="007B40A6">
        <w:rPr>
          <w:sz w:val="28"/>
          <w:szCs w:val="28"/>
        </w:rPr>
        <w:t> 356,7</w:t>
      </w:r>
      <w:r w:rsidRPr="007E6D5D">
        <w:rPr>
          <w:sz w:val="28"/>
          <w:szCs w:val="28"/>
        </w:rPr>
        <w:t>руб.</w:t>
      </w:r>
    </w:p>
    <w:p w:rsidR="007E6D5D" w:rsidRPr="007E6D5D" w:rsidRDefault="009702B2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- </w:t>
      </w:r>
      <w:r w:rsidR="007E6D5D" w:rsidRPr="007E6D5D">
        <w:rPr>
          <w:sz w:val="28"/>
          <w:szCs w:val="28"/>
        </w:rPr>
        <w:t xml:space="preserve">в области культуры, спорта, организации </w:t>
      </w:r>
    </w:p>
    <w:p w:rsidR="009702B2" w:rsidRDefault="007E6D5D" w:rsidP="00D20865">
      <w:pPr>
        <w:ind w:firstLine="720"/>
        <w:jc w:val="both"/>
        <w:rPr>
          <w:sz w:val="28"/>
          <w:szCs w:val="28"/>
        </w:rPr>
      </w:pPr>
      <w:r w:rsidRPr="007E6D5D">
        <w:rPr>
          <w:sz w:val="28"/>
          <w:szCs w:val="28"/>
        </w:rPr>
        <w:t xml:space="preserve">досуга и развлечений – </w:t>
      </w:r>
      <w:r w:rsidR="004E5896">
        <w:rPr>
          <w:sz w:val="28"/>
          <w:szCs w:val="28"/>
        </w:rPr>
        <w:t>28 636,5</w:t>
      </w:r>
      <w:r w:rsidRPr="007E6D5D">
        <w:rPr>
          <w:sz w:val="28"/>
          <w:szCs w:val="28"/>
        </w:rPr>
        <w:t>руб.</w:t>
      </w:r>
    </w:p>
    <w:p w:rsidR="007B40A6" w:rsidRPr="007E6D5D" w:rsidRDefault="007B40A6" w:rsidP="00D20865">
      <w:pPr>
        <w:ind w:firstLine="720"/>
        <w:jc w:val="both"/>
        <w:rPr>
          <w:sz w:val="28"/>
          <w:szCs w:val="28"/>
        </w:rPr>
      </w:pPr>
    </w:p>
    <w:p w:rsidR="00D20865" w:rsidRPr="009B2A9F" w:rsidRDefault="00D20865" w:rsidP="00D20865">
      <w:pPr>
        <w:ind w:firstLine="720"/>
        <w:jc w:val="both"/>
        <w:rPr>
          <w:sz w:val="28"/>
          <w:szCs w:val="28"/>
        </w:rPr>
      </w:pPr>
      <w:r w:rsidRPr="009B2A9F">
        <w:rPr>
          <w:b/>
          <w:sz w:val="28"/>
          <w:szCs w:val="28"/>
        </w:rPr>
        <w:t xml:space="preserve">Рынок труда. </w:t>
      </w:r>
      <w:r w:rsidRPr="009B2A9F">
        <w:rPr>
          <w:sz w:val="28"/>
          <w:szCs w:val="28"/>
        </w:rPr>
        <w:t xml:space="preserve">Уровень безработицы на 1 </w:t>
      </w:r>
      <w:r w:rsidR="003D19D7">
        <w:rPr>
          <w:sz w:val="28"/>
          <w:szCs w:val="28"/>
        </w:rPr>
        <w:t xml:space="preserve">января </w:t>
      </w:r>
      <w:r w:rsidRPr="009B2A9F">
        <w:rPr>
          <w:sz w:val="28"/>
          <w:szCs w:val="28"/>
        </w:rPr>
        <w:t xml:space="preserve"> 20</w:t>
      </w:r>
      <w:r w:rsidR="003D19D7">
        <w:rPr>
          <w:sz w:val="28"/>
          <w:szCs w:val="28"/>
        </w:rPr>
        <w:t>20</w:t>
      </w:r>
      <w:r w:rsidRPr="009B2A9F">
        <w:rPr>
          <w:sz w:val="28"/>
          <w:szCs w:val="28"/>
        </w:rPr>
        <w:t xml:space="preserve"> года составил 1,</w:t>
      </w:r>
      <w:r w:rsidR="009B2A9F" w:rsidRPr="009B2A9F">
        <w:rPr>
          <w:sz w:val="28"/>
          <w:szCs w:val="28"/>
        </w:rPr>
        <w:t>4</w:t>
      </w:r>
      <w:r w:rsidRPr="009B2A9F">
        <w:rPr>
          <w:sz w:val="28"/>
          <w:szCs w:val="28"/>
        </w:rPr>
        <w:t xml:space="preserve">% от численности трудоспособного населения. В Центр занятости обратилось в поиске подходящей работы </w:t>
      </w:r>
      <w:r w:rsidR="003D19D7">
        <w:rPr>
          <w:sz w:val="28"/>
          <w:szCs w:val="28"/>
        </w:rPr>
        <w:t>628</w:t>
      </w:r>
      <w:r w:rsidRPr="009B2A9F">
        <w:rPr>
          <w:sz w:val="28"/>
          <w:szCs w:val="28"/>
        </w:rPr>
        <w:t xml:space="preserve"> человек, статус безработного имели </w:t>
      </w:r>
      <w:r w:rsidR="003D19D7">
        <w:rPr>
          <w:sz w:val="28"/>
          <w:szCs w:val="28"/>
        </w:rPr>
        <w:t>341 человек</w:t>
      </w:r>
      <w:r w:rsidRPr="009B2A9F">
        <w:rPr>
          <w:sz w:val="28"/>
          <w:szCs w:val="28"/>
        </w:rPr>
        <w:t>, пособие по безработице получали 1</w:t>
      </w:r>
      <w:r w:rsidR="003D19D7">
        <w:rPr>
          <w:sz w:val="28"/>
          <w:szCs w:val="28"/>
        </w:rPr>
        <w:t>3</w:t>
      </w:r>
      <w:r w:rsidR="009B2A9F" w:rsidRPr="009B2A9F">
        <w:rPr>
          <w:sz w:val="28"/>
          <w:szCs w:val="28"/>
        </w:rPr>
        <w:t>5</w:t>
      </w:r>
      <w:r w:rsidRPr="009B2A9F">
        <w:rPr>
          <w:sz w:val="28"/>
          <w:szCs w:val="28"/>
        </w:rPr>
        <w:t xml:space="preserve"> безработных гражданина. Из числа безработных доля граждан, уволившихся по собственному желанию, составила </w:t>
      </w:r>
      <w:r w:rsidR="009B2A9F" w:rsidRPr="009B2A9F">
        <w:rPr>
          <w:sz w:val="28"/>
          <w:szCs w:val="28"/>
        </w:rPr>
        <w:t>60,7 </w:t>
      </w:r>
      <w:r w:rsidRPr="009B2A9F">
        <w:rPr>
          <w:sz w:val="28"/>
          <w:szCs w:val="28"/>
        </w:rPr>
        <w:t xml:space="preserve">%, </w:t>
      </w:r>
      <w:r w:rsidR="009B2A9F" w:rsidRPr="009B2A9F">
        <w:rPr>
          <w:sz w:val="28"/>
          <w:szCs w:val="28"/>
        </w:rPr>
        <w:t>16,3 </w:t>
      </w:r>
      <w:r w:rsidRPr="009B2A9F">
        <w:rPr>
          <w:sz w:val="28"/>
          <w:szCs w:val="28"/>
        </w:rPr>
        <w:t xml:space="preserve">% уволены в связи с ликвидацией организации, либо сокращением численности или штата работников организации. </w:t>
      </w:r>
    </w:p>
    <w:p w:rsidR="003D19D7" w:rsidRDefault="003D19D7" w:rsidP="00D20865">
      <w:pPr>
        <w:ind w:firstLine="720"/>
        <w:jc w:val="both"/>
        <w:rPr>
          <w:b/>
          <w:sz w:val="28"/>
          <w:szCs w:val="28"/>
        </w:rPr>
      </w:pPr>
    </w:p>
    <w:p w:rsidR="00D20865" w:rsidRDefault="00D20865" w:rsidP="00D20865">
      <w:pPr>
        <w:ind w:firstLine="720"/>
        <w:jc w:val="both"/>
        <w:rPr>
          <w:sz w:val="28"/>
          <w:szCs w:val="28"/>
        </w:rPr>
      </w:pPr>
      <w:r w:rsidRPr="009B2A9F">
        <w:rPr>
          <w:b/>
          <w:sz w:val="28"/>
          <w:szCs w:val="28"/>
        </w:rPr>
        <w:t>Финансовые результаты деятельности организаций</w:t>
      </w:r>
      <w:r w:rsidRPr="009B2A9F">
        <w:rPr>
          <w:sz w:val="28"/>
          <w:szCs w:val="28"/>
        </w:rPr>
        <w:t>. За 201</w:t>
      </w:r>
      <w:r w:rsidR="009B2A9F" w:rsidRPr="009B2A9F">
        <w:rPr>
          <w:sz w:val="28"/>
          <w:szCs w:val="28"/>
        </w:rPr>
        <w:t>9</w:t>
      </w:r>
      <w:r w:rsidRPr="009B2A9F">
        <w:rPr>
          <w:sz w:val="28"/>
          <w:szCs w:val="28"/>
        </w:rPr>
        <w:t xml:space="preserve">г. сальдированный финансовый результат организаций (без субъектов малого предпринимательства) города в действующих ценах составил </w:t>
      </w:r>
      <w:r w:rsidR="003D19D7">
        <w:rPr>
          <w:sz w:val="28"/>
          <w:szCs w:val="28"/>
        </w:rPr>
        <w:t>740,9</w:t>
      </w:r>
      <w:r w:rsidRPr="009B2A9F">
        <w:rPr>
          <w:sz w:val="28"/>
          <w:szCs w:val="28"/>
        </w:rPr>
        <w:t xml:space="preserve"> млн. руб. (</w:t>
      </w:r>
      <w:r w:rsidR="003D19D7">
        <w:rPr>
          <w:sz w:val="28"/>
          <w:szCs w:val="28"/>
        </w:rPr>
        <w:t>9</w:t>
      </w:r>
      <w:r w:rsidRPr="009B2A9F">
        <w:rPr>
          <w:sz w:val="28"/>
          <w:szCs w:val="28"/>
        </w:rPr>
        <w:t xml:space="preserve"> организаций получили прибыль – </w:t>
      </w:r>
      <w:r w:rsidR="003D19D7">
        <w:rPr>
          <w:sz w:val="28"/>
          <w:szCs w:val="28"/>
        </w:rPr>
        <w:t>829,3</w:t>
      </w:r>
      <w:r w:rsidRPr="009B2A9F">
        <w:rPr>
          <w:sz w:val="28"/>
          <w:szCs w:val="28"/>
        </w:rPr>
        <w:t xml:space="preserve"> млн. руб., и </w:t>
      </w:r>
      <w:r w:rsidR="003D19D7">
        <w:rPr>
          <w:sz w:val="28"/>
          <w:szCs w:val="28"/>
        </w:rPr>
        <w:t>4</w:t>
      </w:r>
      <w:r w:rsidRPr="009B2A9F">
        <w:rPr>
          <w:sz w:val="28"/>
          <w:szCs w:val="28"/>
        </w:rPr>
        <w:t xml:space="preserve"> организации получили убыток – </w:t>
      </w:r>
      <w:r w:rsidR="003D19D7">
        <w:rPr>
          <w:sz w:val="28"/>
          <w:szCs w:val="28"/>
        </w:rPr>
        <w:t>88,4</w:t>
      </w:r>
      <w:r w:rsidRPr="009B2A9F">
        <w:rPr>
          <w:sz w:val="28"/>
          <w:szCs w:val="28"/>
        </w:rPr>
        <w:t xml:space="preserve"> млн. руб.).</w:t>
      </w:r>
    </w:p>
    <w:p w:rsidR="003D19D7" w:rsidRDefault="003D19D7" w:rsidP="00D20865">
      <w:pPr>
        <w:ind w:firstLine="720"/>
        <w:jc w:val="both"/>
        <w:rPr>
          <w:sz w:val="28"/>
          <w:szCs w:val="28"/>
        </w:rPr>
      </w:pPr>
    </w:p>
    <w:p w:rsidR="00D20865" w:rsidRPr="006E53E9" w:rsidRDefault="00D20865" w:rsidP="00D20865">
      <w:pPr>
        <w:ind w:firstLine="709"/>
        <w:jc w:val="both"/>
        <w:rPr>
          <w:color w:val="000000"/>
          <w:sz w:val="28"/>
          <w:szCs w:val="28"/>
        </w:rPr>
      </w:pPr>
      <w:r w:rsidRPr="006E53E9">
        <w:rPr>
          <w:b/>
          <w:sz w:val="28"/>
          <w:szCs w:val="28"/>
        </w:rPr>
        <w:t>Ввод в действие жилья.</w:t>
      </w:r>
    </w:p>
    <w:p w:rsidR="00D20865" w:rsidRDefault="00D20865" w:rsidP="007249B8">
      <w:pPr>
        <w:ind w:firstLine="851"/>
        <w:jc w:val="both"/>
        <w:rPr>
          <w:sz w:val="28"/>
          <w:szCs w:val="28"/>
        </w:rPr>
      </w:pPr>
      <w:r w:rsidRPr="005421B6">
        <w:rPr>
          <w:sz w:val="28"/>
          <w:szCs w:val="28"/>
        </w:rPr>
        <w:t>За 2019г. в городе за счет собственных и заемных сре</w:t>
      </w:r>
      <w:proofErr w:type="gramStart"/>
      <w:r w:rsidRPr="005421B6">
        <w:rPr>
          <w:sz w:val="28"/>
          <w:szCs w:val="28"/>
        </w:rPr>
        <w:t>дств вв</w:t>
      </w:r>
      <w:proofErr w:type="gramEnd"/>
      <w:r w:rsidRPr="005421B6">
        <w:rPr>
          <w:sz w:val="28"/>
          <w:szCs w:val="28"/>
        </w:rPr>
        <w:t xml:space="preserve">едено в действие 6 индивидуальных жилых дома общей площадью </w:t>
      </w:r>
      <w:r w:rsidR="00746AC2">
        <w:rPr>
          <w:sz w:val="28"/>
          <w:szCs w:val="28"/>
        </w:rPr>
        <w:t>960 кв. метров</w:t>
      </w:r>
      <w:r w:rsidR="007249B8">
        <w:rPr>
          <w:sz w:val="28"/>
          <w:szCs w:val="28"/>
        </w:rPr>
        <w:t xml:space="preserve">, что составляет </w:t>
      </w:r>
      <w:r w:rsidR="00746AC2">
        <w:rPr>
          <w:sz w:val="28"/>
          <w:szCs w:val="28"/>
        </w:rPr>
        <w:t>144,8</w:t>
      </w:r>
      <w:r w:rsidR="007249B8">
        <w:rPr>
          <w:sz w:val="28"/>
          <w:szCs w:val="28"/>
        </w:rPr>
        <w:t>% к аналогичному периоду прошлого года</w:t>
      </w:r>
      <w:r w:rsidRPr="005421B6">
        <w:rPr>
          <w:sz w:val="28"/>
          <w:szCs w:val="28"/>
        </w:rPr>
        <w:t>.</w:t>
      </w:r>
    </w:p>
    <w:p w:rsidR="00D20865" w:rsidRDefault="00D20865" w:rsidP="00FA281F">
      <w:pPr>
        <w:ind w:firstLine="720"/>
        <w:jc w:val="center"/>
        <w:rPr>
          <w:b/>
          <w:sz w:val="28"/>
          <w:szCs w:val="28"/>
        </w:rPr>
      </w:pPr>
    </w:p>
    <w:p w:rsidR="005D6FC8" w:rsidRDefault="005D6FC8" w:rsidP="005D6FC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proofErr w:type="gramStart"/>
      <w:r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ЗАТО г. Радужный.</w:t>
      </w:r>
    </w:p>
    <w:p w:rsidR="005D6FC8" w:rsidRPr="00A1744E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b/>
          <w:i/>
          <w:color w:val="000000" w:themeColor="text1"/>
          <w:sz w:val="28"/>
          <w:szCs w:val="28"/>
        </w:rPr>
        <w:t>Доходы</w:t>
      </w:r>
      <w:r w:rsidRPr="00A1744E">
        <w:rPr>
          <w:color w:val="000000" w:themeColor="text1"/>
          <w:sz w:val="28"/>
          <w:szCs w:val="28"/>
        </w:rPr>
        <w:t xml:space="preserve"> городского бюджета за 2019 год составили 677,2  млн. руб. (100,7 % к уточненному годовому бюджету, и 105,6% к бюджету 2018г.).</w:t>
      </w:r>
    </w:p>
    <w:p w:rsidR="005D6FC8" w:rsidRPr="00A1744E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Налоговые и неналоговые доходы поступили в сумме 133,4 млн. руб., что составляет 19,1% от всех доходов. Исполнение налоговых и неналоговых доходов составило 105% к уточненному плану и 118,5% к доходам 2018г.</w:t>
      </w:r>
    </w:p>
    <w:p w:rsidR="005D6FC8" w:rsidRPr="00A1744E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lastRenderedPageBreak/>
        <w:t xml:space="preserve"> Безвозмездные поступления от других бюджетов бюджетной системы Российской Федерации за 2019г. составили 543,8 млн. руб., т.е. 80,3% от всех доходов. Исполнение безвозмездных поступлений – 99,6% к уточненному плану и 102,8% по сравнению с 2018г.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 xml:space="preserve">Основная доля собственных поступлений приходится </w:t>
      </w:r>
      <w:proofErr w:type="gramStart"/>
      <w:r w:rsidRPr="00A1744E">
        <w:rPr>
          <w:color w:val="000000" w:themeColor="text1"/>
          <w:sz w:val="28"/>
          <w:szCs w:val="28"/>
        </w:rPr>
        <w:t>на</w:t>
      </w:r>
      <w:proofErr w:type="gramEnd"/>
      <w:r w:rsidRPr="00A1744E">
        <w:rPr>
          <w:color w:val="000000" w:themeColor="text1"/>
          <w:sz w:val="28"/>
          <w:szCs w:val="28"/>
        </w:rPr>
        <w:t>: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- налог на доходы физических лиц – 56,1 % (74,9 млн. руб.);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- единый налог на вмененный доход для отдельных видов деятельности – 5,5 % (7,4 млн. руб.);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- земельный налог –  8,8 % (11,8 млн. руб.);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 xml:space="preserve">-налог на имущество физических лиц – 2,3 % (3,1 млн. руб.). 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Доходы от использования муниципальной собственности в общей сумме собственных доходов составили – 13,8 % (18,4 млн. руб.), в том числе:</w:t>
      </w:r>
    </w:p>
    <w:p w:rsidR="005D6FC8" w:rsidRPr="00A1744E" w:rsidRDefault="005D6FC8" w:rsidP="005D6FC8">
      <w:pPr>
        <w:spacing w:line="276" w:lineRule="auto"/>
        <w:ind w:right="-5" w:firstLine="709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- арендная плата за земельные участки – 62,5% (11,5 млн. руб.).</w:t>
      </w:r>
    </w:p>
    <w:p w:rsidR="005D6FC8" w:rsidRPr="00A1744E" w:rsidRDefault="005D6FC8" w:rsidP="005D6FC8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 xml:space="preserve">В целях повышения эффективности исполнения доходной части бюджета, было проведено 3 заседания межведомственной комиссии по мобилизации доходов в </w:t>
      </w:r>
      <w:proofErr w:type="gramStart"/>
      <w:r w:rsidRPr="00A1744E">
        <w:rPr>
          <w:color w:val="000000" w:themeColor="text1"/>
          <w:sz w:val="28"/>
          <w:szCs w:val="28"/>
        </w:rPr>
        <w:t>бюджет</w:t>
      </w:r>
      <w:proofErr w:type="gramEnd"/>
      <w:r w:rsidRPr="00A1744E">
        <w:rPr>
          <w:color w:val="000000" w:themeColor="text1"/>
          <w:sz w:val="28"/>
          <w:szCs w:val="28"/>
        </w:rPr>
        <w:t xml:space="preserve"> ЗАТО г. Радужный и легализации трудовых отношений в организациях, расположенных в ЗАТО г. Радужный.</w:t>
      </w:r>
    </w:p>
    <w:p w:rsidR="005D6FC8" w:rsidRPr="00A1744E" w:rsidRDefault="005D6FC8" w:rsidP="005D6FC8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</w:p>
    <w:p w:rsidR="005D6FC8" w:rsidRPr="00A1744E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b/>
          <w:i/>
          <w:color w:val="000000" w:themeColor="text1"/>
          <w:sz w:val="28"/>
          <w:szCs w:val="28"/>
        </w:rPr>
        <w:t>Общий объем расходов</w:t>
      </w:r>
      <w:r w:rsidRPr="00A1744E">
        <w:rPr>
          <w:color w:val="000000" w:themeColor="text1"/>
          <w:sz w:val="28"/>
          <w:szCs w:val="28"/>
        </w:rPr>
        <w:t xml:space="preserve"> исполнен в сумме 664,4 млн. руб., что составляет 98,8  % годового плана. В структуре бюджета города основную долю занимали расходы на социальную сферу – 60,5  % (образование, физическая культура и спорт, культура, социальная политика), 19,9 % расходы на жилищно-коммунальное хозяйство, 1,8 % национальная безопасность и правоохранительная деятельность, 9 % - общегосударственные вопросы, национальная экономика – 8,3 %, средства массовой информации – 0,5%.</w:t>
      </w:r>
    </w:p>
    <w:p w:rsidR="005D6FC8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  <w:r w:rsidRPr="00A1744E">
        <w:rPr>
          <w:color w:val="000000" w:themeColor="text1"/>
          <w:sz w:val="28"/>
          <w:szCs w:val="28"/>
        </w:rPr>
        <w:t>Все 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 и выполнения национальных проектов, в 2019 году проводились по 17 муниципальным программам. Мероприятия программ направлены на содержание и развитие всех сфер жизнедеятельности города.</w:t>
      </w:r>
    </w:p>
    <w:p w:rsidR="005D6FC8" w:rsidRPr="00A1744E" w:rsidRDefault="005D6FC8" w:rsidP="005D6FC8">
      <w:pPr>
        <w:ind w:firstLine="720"/>
        <w:jc w:val="both"/>
        <w:rPr>
          <w:color w:val="000000" w:themeColor="text1"/>
          <w:sz w:val="28"/>
          <w:szCs w:val="28"/>
        </w:rPr>
      </w:pPr>
    </w:p>
    <w:p w:rsidR="005D6FC8" w:rsidRPr="00D011FC" w:rsidRDefault="005D6FC8" w:rsidP="005D6FC8">
      <w:pPr>
        <w:pStyle w:val="a3"/>
        <w:ind w:left="0"/>
        <w:jc w:val="both"/>
        <w:rPr>
          <w:sz w:val="28"/>
          <w:szCs w:val="28"/>
          <w:u w:val="single"/>
        </w:rPr>
      </w:pPr>
      <w:r w:rsidRPr="00D011FC">
        <w:rPr>
          <w:b/>
          <w:sz w:val="28"/>
          <w:szCs w:val="28"/>
        </w:rPr>
        <w:t>Исполнение бюджетных расходов по закупкам для муниципальных нужд</w:t>
      </w:r>
      <w:r>
        <w:rPr>
          <w:b/>
          <w:sz w:val="28"/>
          <w:szCs w:val="28"/>
        </w:rPr>
        <w:t>.</w:t>
      </w:r>
    </w:p>
    <w:p w:rsidR="005D6FC8" w:rsidRDefault="005D6FC8" w:rsidP="005D6FC8">
      <w:pPr>
        <w:pStyle w:val="a3"/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D011FC">
        <w:rPr>
          <w:sz w:val="28"/>
          <w:szCs w:val="28"/>
        </w:rPr>
        <w:t>В 2019 году подготовлены и размещены 211 закупок (с учетом закупок, осуществленных в 2018 году для неотложных и первоочередных нужд и подлежащих исполнению в 2019 году) для муниципальных нужд, в том числе: 3 открытых конкурса (из них 1 конкурс с ограниченным участием в электронной форме), 12 запросов котировок , 196 электронных аукциона.</w:t>
      </w:r>
      <w:proofErr w:type="gramEnd"/>
      <w:r w:rsidRPr="00D011FC">
        <w:rPr>
          <w:sz w:val="28"/>
          <w:szCs w:val="28"/>
        </w:rPr>
        <w:t xml:space="preserve"> Всего объявили торгов на сумму 165,4 млн. руб., по результатам торгов контракты заключены на сумму 145,3 млн. руб., экономия по результатам отбора поставщиков составила 20,1 млн. руб. (12,1 %).</w:t>
      </w:r>
    </w:p>
    <w:p w:rsidR="00F810EE" w:rsidRDefault="00F810EE" w:rsidP="005D6FC8">
      <w:pPr>
        <w:pStyle w:val="a3"/>
        <w:ind w:left="0" w:firstLine="709"/>
        <w:jc w:val="both"/>
        <w:rPr>
          <w:sz w:val="28"/>
          <w:szCs w:val="28"/>
          <w:lang w:val="en-US"/>
        </w:rPr>
      </w:pPr>
    </w:p>
    <w:p w:rsidR="00D1594B" w:rsidRDefault="00F810EE" w:rsidP="00D1594B">
      <w:pPr>
        <w:ind w:firstLine="1418"/>
        <w:rPr>
          <w:b/>
          <w:sz w:val="28"/>
          <w:szCs w:val="28"/>
        </w:rPr>
      </w:pPr>
      <w:r w:rsidRPr="00D1594B">
        <w:rPr>
          <w:b/>
          <w:sz w:val="28"/>
          <w:szCs w:val="28"/>
        </w:rPr>
        <w:t>Правонарушения.</w:t>
      </w:r>
    </w:p>
    <w:p w:rsidR="00F810EE" w:rsidRPr="00D1594B" w:rsidRDefault="00F810EE" w:rsidP="00D1594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</w:t>
      </w:r>
      <w:r w:rsidRPr="00D1594B">
        <w:rPr>
          <w:sz w:val="28"/>
          <w:szCs w:val="28"/>
        </w:rPr>
        <w:t>По данным УМВД России по Владимирской области за 2019г. зарегистрировано 112 преступлений, что  на 9,7% меньше, чем за 2018 год. Общая раскрываемость преступлений составила 50,5% (в 2018г. – 70,9%).</w:t>
      </w:r>
    </w:p>
    <w:p w:rsidR="00F810EE" w:rsidRPr="00D1594B" w:rsidRDefault="00F810EE" w:rsidP="00F810EE">
      <w:pPr>
        <w:ind w:firstLine="708"/>
        <w:jc w:val="both"/>
        <w:rPr>
          <w:sz w:val="28"/>
          <w:szCs w:val="28"/>
        </w:rPr>
      </w:pPr>
      <w:r w:rsidRPr="00D1594B">
        <w:rPr>
          <w:sz w:val="28"/>
          <w:szCs w:val="28"/>
        </w:rPr>
        <w:t>Из общего числа зарегистрированных преступлений 41 отнесены к тяжким и особо тяжким преступлениям. Их число увеличилось по сравнению с 2018г. в 2,2 раза, удельный вес этих преступлений, в общем, их числе составил 36,6% против 15,3% в 2018г. Раскрываемость тяжких и особо тяжких поступлений в 2019г. составила 28,6% против 68,4%  в 2018г.</w:t>
      </w:r>
    </w:p>
    <w:p w:rsidR="00F810EE" w:rsidRPr="00D1594B" w:rsidRDefault="00F810EE" w:rsidP="00F810EE">
      <w:pPr>
        <w:ind w:firstLine="708"/>
        <w:jc w:val="both"/>
        <w:rPr>
          <w:sz w:val="28"/>
          <w:szCs w:val="28"/>
        </w:rPr>
      </w:pPr>
      <w:r w:rsidRPr="00D1594B">
        <w:rPr>
          <w:sz w:val="28"/>
          <w:szCs w:val="28"/>
        </w:rPr>
        <w:t>По сравнению с аналогичным периодом прошлого года численность выявленных лиц, совершивших преступление, уменьшилась в 2 раза и составила в</w:t>
      </w:r>
      <w:r w:rsidR="00181763" w:rsidRPr="00D1594B">
        <w:rPr>
          <w:sz w:val="28"/>
          <w:szCs w:val="28"/>
        </w:rPr>
        <w:t xml:space="preserve"> 2019г. </w:t>
      </w:r>
      <w:r w:rsidRPr="00D1594B">
        <w:rPr>
          <w:sz w:val="28"/>
          <w:szCs w:val="28"/>
        </w:rPr>
        <w:t xml:space="preserve"> 42 человека.</w:t>
      </w:r>
    </w:p>
    <w:p w:rsidR="00F810EE" w:rsidRPr="00F810EE" w:rsidRDefault="00F810EE" w:rsidP="005D6FC8">
      <w:pPr>
        <w:pStyle w:val="a3"/>
        <w:ind w:left="0" w:firstLine="709"/>
        <w:jc w:val="both"/>
        <w:rPr>
          <w:sz w:val="28"/>
          <w:szCs w:val="28"/>
        </w:rPr>
      </w:pPr>
    </w:p>
    <w:p w:rsidR="00F8327C" w:rsidRPr="00D1594B" w:rsidRDefault="00F8327C" w:rsidP="00F8327C">
      <w:pPr>
        <w:ind w:firstLine="709"/>
        <w:jc w:val="both"/>
        <w:rPr>
          <w:sz w:val="28"/>
          <w:szCs w:val="28"/>
        </w:rPr>
      </w:pPr>
    </w:p>
    <w:p w:rsidR="00F8327C" w:rsidRPr="006E53E9" w:rsidRDefault="00F8327C" w:rsidP="00F8327C">
      <w:pPr>
        <w:pStyle w:val="a3"/>
        <w:ind w:left="0" w:firstLine="709"/>
        <w:jc w:val="both"/>
        <w:rPr>
          <w:b/>
          <w:sz w:val="28"/>
          <w:szCs w:val="28"/>
        </w:rPr>
      </w:pPr>
      <w:r w:rsidRPr="006E53E9">
        <w:rPr>
          <w:sz w:val="28"/>
          <w:szCs w:val="28"/>
        </w:rPr>
        <w:tab/>
      </w:r>
      <w:r w:rsidRPr="006E53E9">
        <w:rPr>
          <w:b/>
          <w:sz w:val="28"/>
          <w:szCs w:val="28"/>
        </w:rPr>
        <w:t>Общие вопросы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>В целях регулирования вопросов местного значения за 2019 г. главой администрации были приняты правовые акты: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>- постановления – 1 902 шт. (2018 г. – 1 992);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>- распоряжения – 123 шт. (2018 г. - 160).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>Принято к исполнению 6 767 входящих документов (в 2018 г. – 6 644), подготовлено 6 798  исходящих документов (в 2018 г. – 6 587).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 xml:space="preserve">Руководителям органов местного </w:t>
      </w:r>
      <w:proofErr w:type="gramStart"/>
      <w:r w:rsidRPr="00F71AD9">
        <w:rPr>
          <w:color w:val="000000" w:themeColor="text1"/>
          <w:sz w:val="28"/>
          <w:szCs w:val="28"/>
        </w:rPr>
        <w:t>самоуправления</w:t>
      </w:r>
      <w:proofErr w:type="gramEnd"/>
      <w:r w:rsidRPr="00F71AD9">
        <w:rPr>
          <w:color w:val="000000" w:themeColor="text1"/>
          <w:sz w:val="28"/>
          <w:szCs w:val="28"/>
        </w:rPr>
        <w:t xml:space="preserve"> ЗАТО г. Радужный поступило 453  обращения от граждан, в том числе письменных обращений – 273, устных обращений – 137, интернет – обращений – 43. 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 xml:space="preserve">Анализ обращений граждан показывает, что основная масса вопросов касается жилья, социальной защиты населения, </w:t>
      </w:r>
      <w:proofErr w:type="spellStart"/>
      <w:r w:rsidRPr="00F71AD9">
        <w:rPr>
          <w:color w:val="000000" w:themeColor="text1"/>
          <w:sz w:val="28"/>
          <w:szCs w:val="28"/>
        </w:rPr>
        <w:t>коммунально</w:t>
      </w:r>
      <w:proofErr w:type="spellEnd"/>
      <w:r w:rsidRPr="00F71AD9">
        <w:rPr>
          <w:color w:val="000000" w:themeColor="text1"/>
          <w:sz w:val="28"/>
          <w:szCs w:val="28"/>
        </w:rPr>
        <w:t>–бытового обслуживания.</w:t>
      </w:r>
    </w:p>
    <w:p w:rsidR="00D1594B" w:rsidRPr="00F71AD9" w:rsidRDefault="00D1594B" w:rsidP="00D1594B">
      <w:pPr>
        <w:ind w:firstLine="720"/>
        <w:jc w:val="both"/>
        <w:rPr>
          <w:color w:val="000000" w:themeColor="text1"/>
          <w:sz w:val="28"/>
          <w:szCs w:val="28"/>
        </w:rPr>
      </w:pPr>
      <w:r w:rsidRPr="00F71AD9">
        <w:rPr>
          <w:color w:val="000000" w:themeColor="text1"/>
          <w:sz w:val="28"/>
          <w:szCs w:val="28"/>
        </w:rPr>
        <w:t>Все обращения обобщаются и анализируются. Информация о принятых мерах по каждому обращению доводится до заявителя.</w:t>
      </w:r>
    </w:p>
    <w:p w:rsidR="00D1594B" w:rsidRPr="00F71AD9" w:rsidRDefault="00D1594B" w:rsidP="00D1594B">
      <w:pPr>
        <w:ind w:firstLine="851"/>
        <w:jc w:val="both"/>
        <w:rPr>
          <w:color w:val="000000" w:themeColor="text1"/>
          <w:sz w:val="28"/>
          <w:szCs w:val="28"/>
        </w:rPr>
      </w:pPr>
    </w:p>
    <w:p w:rsidR="00F8327C" w:rsidRPr="00EA4303" w:rsidRDefault="00F8327C" w:rsidP="00F8327C">
      <w:pPr>
        <w:ind w:firstLine="851"/>
        <w:jc w:val="both"/>
        <w:rPr>
          <w:sz w:val="28"/>
          <w:szCs w:val="28"/>
        </w:rPr>
      </w:pPr>
    </w:p>
    <w:p w:rsidR="00F8327C" w:rsidRDefault="002379EB" w:rsidP="00297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экономики </w:t>
      </w:r>
    </w:p>
    <w:p w:rsidR="002379EB" w:rsidRPr="00C56C8A" w:rsidRDefault="002379EB" w:rsidP="00297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                            Т. П. Симонова</w:t>
      </w:r>
    </w:p>
    <w:sectPr w:rsidR="002379EB" w:rsidRPr="00C56C8A" w:rsidSect="00C56C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E26"/>
    <w:rsid w:val="0004037D"/>
    <w:rsid w:val="00065979"/>
    <w:rsid w:val="000B6B09"/>
    <w:rsid w:val="00154364"/>
    <w:rsid w:val="00181763"/>
    <w:rsid w:val="001B5A82"/>
    <w:rsid w:val="001D1E26"/>
    <w:rsid w:val="001F2097"/>
    <w:rsid w:val="001F3EA3"/>
    <w:rsid w:val="001F6F05"/>
    <w:rsid w:val="002260AB"/>
    <w:rsid w:val="002379EB"/>
    <w:rsid w:val="00293C12"/>
    <w:rsid w:val="00297FD9"/>
    <w:rsid w:val="002A2861"/>
    <w:rsid w:val="002B4B27"/>
    <w:rsid w:val="002F6040"/>
    <w:rsid w:val="0030550B"/>
    <w:rsid w:val="00353CCA"/>
    <w:rsid w:val="003D19D7"/>
    <w:rsid w:val="00447203"/>
    <w:rsid w:val="004708FC"/>
    <w:rsid w:val="004E0327"/>
    <w:rsid w:val="004E5896"/>
    <w:rsid w:val="004F2A59"/>
    <w:rsid w:val="00504524"/>
    <w:rsid w:val="005421B6"/>
    <w:rsid w:val="0057663D"/>
    <w:rsid w:val="005D6FC8"/>
    <w:rsid w:val="00605494"/>
    <w:rsid w:val="006A4A9A"/>
    <w:rsid w:val="006D1435"/>
    <w:rsid w:val="007164DC"/>
    <w:rsid w:val="007249B8"/>
    <w:rsid w:val="00743DB8"/>
    <w:rsid w:val="00746AC2"/>
    <w:rsid w:val="00795242"/>
    <w:rsid w:val="007A2C38"/>
    <w:rsid w:val="007B40A6"/>
    <w:rsid w:val="007E6D5D"/>
    <w:rsid w:val="009702B2"/>
    <w:rsid w:val="00983C23"/>
    <w:rsid w:val="009A62DA"/>
    <w:rsid w:val="009B2A9F"/>
    <w:rsid w:val="00AB2C73"/>
    <w:rsid w:val="00AD469B"/>
    <w:rsid w:val="00B027EE"/>
    <w:rsid w:val="00B72E88"/>
    <w:rsid w:val="00B8712C"/>
    <w:rsid w:val="00BB3EB0"/>
    <w:rsid w:val="00C56C8A"/>
    <w:rsid w:val="00C76D37"/>
    <w:rsid w:val="00CC46B6"/>
    <w:rsid w:val="00D04E33"/>
    <w:rsid w:val="00D1594B"/>
    <w:rsid w:val="00D20865"/>
    <w:rsid w:val="00D6009F"/>
    <w:rsid w:val="00D65256"/>
    <w:rsid w:val="00D81695"/>
    <w:rsid w:val="00D82174"/>
    <w:rsid w:val="00DA6644"/>
    <w:rsid w:val="00E455F9"/>
    <w:rsid w:val="00E57453"/>
    <w:rsid w:val="00F810EE"/>
    <w:rsid w:val="00F8327C"/>
    <w:rsid w:val="00FA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7C"/>
    <w:pPr>
      <w:ind w:left="720"/>
      <w:contextualSpacing/>
    </w:pPr>
  </w:style>
  <w:style w:type="character" w:styleId="a4">
    <w:name w:val="Strong"/>
    <w:basedOn w:val="a0"/>
    <w:qFormat/>
    <w:rsid w:val="00D20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adm23</dc:creator>
  <cp:lastModifiedBy>adm23</cp:lastModifiedBy>
  <cp:revision>8</cp:revision>
  <cp:lastPrinted>2020-10-02T13:22:00Z</cp:lastPrinted>
  <dcterms:created xsi:type="dcterms:W3CDTF">2020-09-29T11:28:00Z</dcterms:created>
  <dcterms:modified xsi:type="dcterms:W3CDTF">2020-10-02T13:27:00Z</dcterms:modified>
</cp:coreProperties>
</file>