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37" w:rsidRPr="00606610" w:rsidRDefault="00595937" w:rsidP="00937A1B">
      <w:pPr>
        <w:spacing w:line="240" w:lineRule="auto"/>
        <w:jc w:val="right"/>
      </w:pPr>
      <w:bookmarkStart w:id="0" w:name="_GoBack"/>
      <w:bookmarkEnd w:id="0"/>
      <w:r w:rsidRPr="00606610">
        <w:t>Приложение</w:t>
      </w:r>
    </w:p>
    <w:p w:rsidR="00595937" w:rsidRDefault="00595937" w:rsidP="00937A1B">
      <w:pPr>
        <w:spacing w:line="240" w:lineRule="auto"/>
        <w:jc w:val="right"/>
      </w:pPr>
    </w:p>
    <w:p w:rsidR="005D50AA" w:rsidRDefault="005D50AA" w:rsidP="00937A1B">
      <w:pPr>
        <w:spacing w:line="240" w:lineRule="auto"/>
      </w:pPr>
      <w:r>
        <w:t xml:space="preserve">В рамках надзорных мероприятий Банком России выявлены многочисленные факты, когда профессиональные участники </w:t>
      </w:r>
      <w:r w:rsidRPr="00A12490">
        <w:t>на основ</w:t>
      </w:r>
      <w:r>
        <w:t>ании</w:t>
      </w:r>
      <w:r w:rsidRPr="00A12490">
        <w:t xml:space="preserve"> договора о брокерском обслуживании фактически осуществляют деятельность по доверительному управлению</w:t>
      </w:r>
      <w:r>
        <w:t>, в том числе</w:t>
      </w:r>
      <w:r w:rsidRPr="00DE47F7">
        <w:t xml:space="preserve"> </w:t>
      </w:r>
      <w:r>
        <w:t xml:space="preserve">посредством </w:t>
      </w:r>
      <w:r w:rsidRPr="00AD5C04">
        <w:t>условных</w:t>
      </w:r>
      <w:r w:rsidRPr="00A12490">
        <w:t xml:space="preserve"> многократных поручений</w:t>
      </w:r>
      <w:r>
        <w:t xml:space="preserve"> клиентов. Встречаются также случаи, когда вместо договоров о брокерском обслуживании или договоров доверительного управления профессиональные участники предлагают клиентам осуществлять управление их имуществом по договорам поручения, займа, или просто на основании доверенностей, </w:t>
      </w:r>
      <w:r w:rsidRPr="00A12490">
        <w:t>выданн</w:t>
      </w:r>
      <w:r>
        <w:t>ых клиентами работникам брокера.</w:t>
      </w:r>
    </w:p>
    <w:p w:rsidR="005D50AA" w:rsidRDefault="005D50AA" w:rsidP="00937A1B">
      <w:pPr>
        <w:spacing w:line="240" w:lineRule="auto"/>
      </w:pPr>
      <w:r>
        <w:t xml:space="preserve">Практика выстраивания отношений с клиентами на основании гражданско-правовых договоров, заключенных вне рамок специального регулирования соответствующей лицензируемой деятельности, лишает клиента механизма защиты своих имущественных прав, </w:t>
      </w:r>
      <w:r w:rsidRPr="002568D8">
        <w:t>предусмотренного действующим законодательством</w:t>
      </w:r>
      <w:r>
        <w:t>, в случае возникновения у последнего убытков.</w:t>
      </w:r>
    </w:p>
    <w:p w:rsidR="005D50AA" w:rsidRDefault="005D50AA" w:rsidP="00937A1B">
      <w:pPr>
        <w:spacing w:line="240" w:lineRule="auto"/>
      </w:pPr>
      <w:r>
        <w:t xml:space="preserve">1.Так, при замене договора доверительного управления любым из перечисленных выше договоров, в том числе о брокерском обслуживании, </w:t>
      </w:r>
      <w:r w:rsidRPr="00463275">
        <w:t>к возникающим отношениям не применяются правила об определении инвестиционного профиля клиента, на основе которого осуществляется доверительное управление ценными бумагами и денежными средствами клиента, а вознаграждение брокера взимается по модели, которая не предполагает его заинтересованност</w:t>
      </w:r>
      <w:r>
        <w:t>и</w:t>
      </w:r>
      <w:r w:rsidRPr="00463275">
        <w:t xml:space="preserve"> в доходах клиента (управляющий получает вознаграждение только с доходов от управления имуществом и (или) фиксированную плату за управление, в то время как брокер получает вознаграждение за совершенные сделки).</w:t>
      </w:r>
      <w:r>
        <w:t xml:space="preserve"> Эти особенности позволяют такому профессиональному участнику снизить издержки в сравнении с теми профессиональными участниками, которые осуществляют доверительное управление в рамках соответствующих правовых конструкций. Такой подход, по мнению Банка России, наряду с вышеуказанными негативными последствиями, порождает регуляторный арбитраж и приводит к недобросовестной конкуренции на рынке ценных бумаг.</w:t>
      </w:r>
    </w:p>
    <w:p w:rsidR="005D50AA" w:rsidRDefault="005D50AA" w:rsidP="00937A1B">
      <w:pPr>
        <w:spacing w:line="240" w:lineRule="auto"/>
      </w:pPr>
      <w:r>
        <w:t xml:space="preserve">2.Серьезные риски для клиентов могут реализоваться в случаях, когда </w:t>
      </w:r>
      <w:r w:rsidRPr="00CA3366">
        <w:t xml:space="preserve">использование ценных бумаг и (или) денежных средств клиентов </w:t>
      </w:r>
      <w:r>
        <w:t xml:space="preserve">оформляется в виде </w:t>
      </w:r>
      <w:r w:rsidRPr="00CA3366">
        <w:t>займ</w:t>
      </w:r>
      <w:r>
        <w:t>а</w:t>
      </w:r>
      <w:r w:rsidRPr="00CA3366">
        <w:t xml:space="preserve"> третьим лицам или договор</w:t>
      </w:r>
      <w:r>
        <w:t>а</w:t>
      </w:r>
      <w:r w:rsidRPr="00CA3366">
        <w:t xml:space="preserve"> РЕПО с третьими лицами</w:t>
      </w:r>
      <w:r>
        <w:t xml:space="preserve"> без ручательства брокера (делькредере) за исполнение ими своих обязательств. </w:t>
      </w:r>
    </w:p>
    <w:p w:rsidR="005D50AA" w:rsidRDefault="005D50AA" w:rsidP="00937A1B">
      <w:pPr>
        <w:spacing w:line="240" w:lineRule="auto"/>
      </w:pPr>
      <w:r>
        <w:t xml:space="preserve">Как правило, в таких случаях клиент недостаточно информирован о последствиях передачи своего имущества в заем третьим лицам, и при реализации риска неисполнения своих обязательств контрагентами есть вероятность утраты клиентом своих денежных средств и (или) ценных бумаг, то есть профессиональный участник в данном случае не принимает на себя никаких рисков такого неисполнения, их целиком несет его клиент. Следовательно, в случаях </w:t>
      </w:r>
      <w:r w:rsidRPr="00375D5B">
        <w:t>неисполнения своих обязательств контрагент</w:t>
      </w:r>
      <w:r>
        <w:t xml:space="preserve">ом, профессиональный участник исключается из данных правоотношений, в то время как клиент должен самостоятельно защищать свои интересы. </w:t>
      </w:r>
    </w:p>
    <w:p w:rsidR="005D50AA" w:rsidRDefault="005D50AA" w:rsidP="00937A1B">
      <w:pPr>
        <w:spacing w:line="240" w:lineRule="auto"/>
      </w:pPr>
      <w:r w:rsidRPr="00463275">
        <w:lastRenderedPageBreak/>
        <w:t xml:space="preserve">Также отмечаем, что реализация указанного риска, а также риска неполучения доходов по ценным бумагам, переданным заемщику, или получения их в меньшем размере (в </w:t>
      </w:r>
      <w:r>
        <w:t>том числе с учетом</w:t>
      </w:r>
      <w:r w:rsidRPr="00463275">
        <w:t xml:space="preserve"> </w:t>
      </w:r>
      <w:r>
        <w:t>особенностей</w:t>
      </w:r>
      <w:r w:rsidRPr="00463275">
        <w:t xml:space="preserve"> налогообложения) может быть неожиданной для клиента, а сам риск может не соответствовать </w:t>
      </w:r>
      <w:r w:rsidRPr="00C97A9F">
        <w:t>тем выгодам, которые он получает в результате таких операций</w:t>
      </w:r>
      <w:r w:rsidRPr="00463275">
        <w:t>.</w:t>
      </w:r>
    </w:p>
    <w:p w:rsidR="005D50AA" w:rsidRPr="002C671C" w:rsidRDefault="005D50AA" w:rsidP="00937A1B">
      <w:pPr>
        <w:spacing w:line="240" w:lineRule="auto"/>
      </w:pPr>
      <w:r w:rsidRPr="002C671C">
        <w:t xml:space="preserve">Банк России принимает во внимание, что за счет использования ценных бумаг и денежных средств клиентов возможно предложение им более низких </w:t>
      </w:r>
      <w:r w:rsidRPr="00C97A9F">
        <w:t>тарифов</w:t>
      </w:r>
      <w:r>
        <w:t xml:space="preserve"> </w:t>
      </w:r>
      <w:r w:rsidRPr="002C671C">
        <w:t>за брокерское обслуживание, однако, это обстоятельство не влияет на риски такого использования, которые клиент должен самостоятельно взвесить.</w:t>
      </w:r>
    </w:p>
    <w:p w:rsidR="005D50AA" w:rsidRDefault="005D50AA" w:rsidP="00937A1B">
      <w:pPr>
        <w:spacing w:line="240" w:lineRule="auto"/>
      </w:pPr>
      <w:r>
        <w:t xml:space="preserve">Для целей осуществления данной практики также могут использоваться </w:t>
      </w:r>
      <w:r w:rsidRPr="003B2932">
        <w:t>условны</w:t>
      </w:r>
      <w:r>
        <w:t xml:space="preserve">е </w:t>
      </w:r>
      <w:r w:rsidRPr="003B2932">
        <w:t>многократны</w:t>
      </w:r>
      <w:r>
        <w:t>е</w:t>
      </w:r>
      <w:r w:rsidRPr="003B2932">
        <w:t xml:space="preserve"> поручени</w:t>
      </w:r>
      <w:r>
        <w:t>я</w:t>
      </w:r>
      <w:r w:rsidRPr="003B2932">
        <w:t xml:space="preserve"> или доверенност</w:t>
      </w:r>
      <w:r>
        <w:t>и</w:t>
      </w:r>
      <w:r w:rsidRPr="003B2932">
        <w:t>, выданн</w:t>
      </w:r>
      <w:r>
        <w:t>ые клиентами работникам брокера</w:t>
      </w:r>
      <w:r w:rsidRPr="0026459E">
        <w:t>.</w:t>
      </w:r>
    </w:p>
    <w:p w:rsidR="005D50AA" w:rsidRDefault="005D50AA" w:rsidP="00937A1B">
      <w:pPr>
        <w:spacing w:line="240" w:lineRule="auto"/>
      </w:pPr>
      <w:r>
        <w:t>3. Обращают на себя внимание случаи, в которых при исполнении поручений клиентов, особенно с внебиржевыми финансовыми инструментами, брокером используются скрытые вознаграждения. Например, пользуясь тем, что у их клиентов нет информации о действительных ценах на внебиржевые финансовые инструменты, профессиональные участники могут присваивать себе выгоду, полученную при исполнении поручения по сделке с такими инструментами по цене, лучшей, чем цена, указанная в поручении, не раскрывая клиенту информацию об этом. В такой ситуации клиент необоснованно теряет свои денежные средства, что влечет к уменьшению итогового финансового результата клиента.</w:t>
      </w:r>
    </w:p>
    <w:p w:rsidR="005D50AA" w:rsidRDefault="005D50AA" w:rsidP="00937A1B">
      <w:pPr>
        <w:spacing w:line="240" w:lineRule="auto"/>
      </w:pPr>
      <w:r>
        <w:t>С учетом изложенного, в целях повышения доверия к финансовому рынку, а также предотвращения рисков убытков клиентов профессиональных участников, Банк России предлагает профессиональным участникам обеспечить должную прозрачность при предоставлении своих услуг и рекомендует исключить использование в своей деятельности указанных в настоящем информационном письме практик.</w:t>
      </w:r>
    </w:p>
    <w:p w:rsidR="00F01E37" w:rsidRDefault="00F01E37" w:rsidP="00937A1B">
      <w:pPr>
        <w:spacing w:line="240" w:lineRule="auto"/>
        <w:ind w:firstLine="0"/>
      </w:pPr>
    </w:p>
    <w:sectPr w:rsidR="00F01E37" w:rsidSect="00C07CD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D67" w:rsidRDefault="00567D67" w:rsidP="00445776">
      <w:r>
        <w:separator/>
      </w:r>
    </w:p>
  </w:endnote>
  <w:endnote w:type="continuationSeparator" w:id="0">
    <w:p w:rsidR="00567D67" w:rsidRDefault="00567D67" w:rsidP="00445776">
      <w:r>
        <w:continuationSeparator/>
      </w:r>
    </w:p>
  </w:endnote>
  <w:endnote w:type="continuationNotice" w:id="1">
    <w:p w:rsidR="00567D67" w:rsidRDefault="00567D67" w:rsidP="0044577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4C" w:rsidRDefault="00B21F4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59E" w:rsidRDefault="0073259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4C" w:rsidRDefault="00B21F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D67" w:rsidRDefault="00567D67" w:rsidP="00445776">
      <w:r>
        <w:separator/>
      </w:r>
    </w:p>
  </w:footnote>
  <w:footnote w:type="continuationSeparator" w:id="0">
    <w:p w:rsidR="00567D67" w:rsidRDefault="00567D67" w:rsidP="00445776">
      <w:r>
        <w:continuationSeparator/>
      </w:r>
    </w:p>
  </w:footnote>
  <w:footnote w:type="continuationNotice" w:id="1">
    <w:p w:rsidR="00567D67" w:rsidRDefault="00567D67" w:rsidP="0044577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4C" w:rsidRDefault="00B21F4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73D" w:rsidRPr="00B74BC2" w:rsidRDefault="00F1373D" w:rsidP="00274725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4C" w:rsidRDefault="00B21F4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4BE"/>
    <w:multiLevelType w:val="hybridMultilevel"/>
    <w:tmpl w:val="73109C18"/>
    <w:lvl w:ilvl="0" w:tplc="EF7CE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6496F"/>
    <w:multiLevelType w:val="hybridMultilevel"/>
    <w:tmpl w:val="C806012C"/>
    <w:lvl w:ilvl="0" w:tplc="7F3800D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F81AFB"/>
    <w:multiLevelType w:val="hybridMultilevel"/>
    <w:tmpl w:val="6D8041EA"/>
    <w:lvl w:ilvl="0" w:tplc="3D5A1F18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724D6"/>
    <w:multiLevelType w:val="hybridMultilevel"/>
    <w:tmpl w:val="37783DD2"/>
    <w:lvl w:ilvl="0" w:tplc="F05EDD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3D4F86"/>
    <w:multiLevelType w:val="hybridMultilevel"/>
    <w:tmpl w:val="5BBCD120"/>
    <w:lvl w:ilvl="0" w:tplc="FCD2A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052354"/>
    <w:multiLevelType w:val="hybridMultilevel"/>
    <w:tmpl w:val="4E64BF78"/>
    <w:lvl w:ilvl="0" w:tplc="09F2D8F6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6F5CB6"/>
    <w:multiLevelType w:val="hybridMultilevel"/>
    <w:tmpl w:val="EF74F7C4"/>
    <w:lvl w:ilvl="0" w:tplc="8130B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45590A"/>
    <w:multiLevelType w:val="hybridMultilevel"/>
    <w:tmpl w:val="7E7614D8"/>
    <w:lvl w:ilvl="0" w:tplc="274CDA0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A82633"/>
    <w:multiLevelType w:val="hybridMultilevel"/>
    <w:tmpl w:val="889AF8F6"/>
    <w:lvl w:ilvl="0" w:tplc="5642AE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3374F39"/>
    <w:multiLevelType w:val="hybridMultilevel"/>
    <w:tmpl w:val="28300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D41FA"/>
    <w:multiLevelType w:val="hybridMultilevel"/>
    <w:tmpl w:val="AEF8E2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D76B10"/>
    <w:multiLevelType w:val="hybridMultilevel"/>
    <w:tmpl w:val="C63C6D7A"/>
    <w:lvl w:ilvl="0" w:tplc="FC1A3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  <w:num w:numId="11">
    <w:abstractNumId w:val="2"/>
  </w:num>
  <w:num w:numId="12">
    <w:abstractNumId w:val="2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57094"/>
    <w:rsid w:val="000107BE"/>
    <w:rsid w:val="00011124"/>
    <w:rsid w:val="0001663C"/>
    <w:rsid w:val="0001760A"/>
    <w:rsid w:val="00017CEA"/>
    <w:rsid w:val="0002553F"/>
    <w:rsid w:val="00030BE5"/>
    <w:rsid w:val="00034854"/>
    <w:rsid w:val="00044174"/>
    <w:rsid w:val="000572F8"/>
    <w:rsid w:val="00071C73"/>
    <w:rsid w:val="00072743"/>
    <w:rsid w:val="00073B4A"/>
    <w:rsid w:val="00086170"/>
    <w:rsid w:val="00086BE0"/>
    <w:rsid w:val="000A30C2"/>
    <w:rsid w:val="000A4461"/>
    <w:rsid w:val="000A5028"/>
    <w:rsid w:val="000A78C7"/>
    <w:rsid w:val="000B6ADA"/>
    <w:rsid w:val="000C0D77"/>
    <w:rsid w:val="000C55C3"/>
    <w:rsid w:val="000D34FD"/>
    <w:rsid w:val="000E17AE"/>
    <w:rsid w:val="000E1B1B"/>
    <w:rsid w:val="00113895"/>
    <w:rsid w:val="00115304"/>
    <w:rsid w:val="001153C0"/>
    <w:rsid w:val="00115522"/>
    <w:rsid w:val="00136BC4"/>
    <w:rsid w:val="00140976"/>
    <w:rsid w:val="00141514"/>
    <w:rsid w:val="00144354"/>
    <w:rsid w:val="00147D07"/>
    <w:rsid w:val="00155013"/>
    <w:rsid w:val="00161D7D"/>
    <w:rsid w:val="001744B1"/>
    <w:rsid w:val="0017568F"/>
    <w:rsid w:val="00176150"/>
    <w:rsid w:val="00181E92"/>
    <w:rsid w:val="00185FB6"/>
    <w:rsid w:val="00186D18"/>
    <w:rsid w:val="00187B48"/>
    <w:rsid w:val="0019799D"/>
    <w:rsid w:val="001A1A6B"/>
    <w:rsid w:val="001A1F2E"/>
    <w:rsid w:val="001A61A5"/>
    <w:rsid w:val="001A6C33"/>
    <w:rsid w:val="001B3F15"/>
    <w:rsid w:val="001B6BE6"/>
    <w:rsid w:val="001C0158"/>
    <w:rsid w:val="001C2502"/>
    <w:rsid w:val="001C2DCD"/>
    <w:rsid w:val="001D1B28"/>
    <w:rsid w:val="00200C76"/>
    <w:rsid w:val="002068CB"/>
    <w:rsid w:val="002153E3"/>
    <w:rsid w:val="00220E78"/>
    <w:rsid w:val="00232A99"/>
    <w:rsid w:val="002404B0"/>
    <w:rsid w:val="00251433"/>
    <w:rsid w:val="002568D8"/>
    <w:rsid w:val="0026386D"/>
    <w:rsid w:val="0026459E"/>
    <w:rsid w:val="00265FCA"/>
    <w:rsid w:val="00271336"/>
    <w:rsid w:val="00271ED6"/>
    <w:rsid w:val="00272323"/>
    <w:rsid w:val="00274725"/>
    <w:rsid w:val="00282130"/>
    <w:rsid w:val="00284132"/>
    <w:rsid w:val="00286560"/>
    <w:rsid w:val="002875F6"/>
    <w:rsid w:val="00292538"/>
    <w:rsid w:val="00295627"/>
    <w:rsid w:val="002A401B"/>
    <w:rsid w:val="002B577A"/>
    <w:rsid w:val="002C63C9"/>
    <w:rsid w:val="002C671C"/>
    <w:rsid w:val="002D0B4A"/>
    <w:rsid w:val="002D5E2E"/>
    <w:rsid w:val="002D7C03"/>
    <w:rsid w:val="002E15AC"/>
    <w:rsid w:val="002E2765"/>
    <w:rsid w:val="002E543F"/>
    <w:rsid w:val="002F2EEB"/>
    <w:rsid w:val="0030715A"/>
    <w:rsid w:val="00320BCB"/>
    <w:rsid w:val="00321B1E"/>
    <w:rsid w:val="00334591"/>
    <w:rsid w:val="003346AE"/>
    <w:rsid w:val="00337D9C"/>
    <w:rsid w:val="00340450"/>
    <w:rsid w:val="00352B47"/>
    <w:rsid w:val="00360160"/>
    <w:rsid w:val="00365B71"/>
    <w:rsid w:val="00375D5B"/>
    <w:rsid w:val="00383512"/>
    <w:rsid w:val="00383FD6"/>
    <w:rsid w:val="00390696"/>
    <w:rsid w:val="003B2932"/>
    <w:rsid w:val="003B399E"/>
    <w:rsid w:val="003B3FC6"/>
    <w:rsid w:val="003B51EF"/>
    <w:rsid w:val="003B78D8"/>
    <w:rsid w:val="003C33D4"/>
    <w:rsid w:val="003C5BF3"/>
    <w:rsid w:val="003C6ADF"/>
    <w:rsid w:val="003D19DE"/>
    <w:rsid w:val="003D45AF"/>
    <w:rsid w:val="003D4EF5"/>
    <w:rsid w:val="003D7F1A"/>
    <w:rsid w:val="003E7D12"/>
    <w:rsid w:val="003F1134"/>
    <w:rsid w:val="003F29D5"/>
    <w:rsid w:val="003F3C71"/>
    <w:rsid w:val="003F6CC8"/>
    <w:rsid w:val="0041672B"/>
    <w:rsid w:val="004403DC"/>
    <w:rsid w:val="00445426"/>
    <w:rsid w:val="00445776"/>
    <w:rsid w:val="00463275"/>
    <w:rsid w:val="004654DC"/>
    <w:rsid w:val="004703DD"/>
    <w:rsid w:val="0047049B"/>
    <w:rsid w:val="004721C5"/>
    <w:rsid w:val="00477847"/>
    <w:rsid w:val="00482580"/>
    <w:rsid w:val="004D3B18"/>
    <w:rsid w:val="004D6E44"/>
    <w:rsid w:val="004E6B23"/>
    <w:rsid w:val="00507CA7"/>
    <w:rsid w:val="00511172"/>
    <w:rsid w:val="00512059"/>
    <w:rsid w:val="0052514C"/>
    <w:rsid w:val="00526119"/>
    <w:rsid w:val="00535813"/>
    <w:rsid w:val="00542ABF"/>
    <w:rsid w:val="005446BD"/>
    <w:rsid w:val="005504F9"/>
    <w:rsid w:val="00554F8E"/>
    <w:rsid w:val="0055706D"/>
    <w:rsid w:val="00560204"/>
    <w:rsid w:val="005625E5"/>
    <w:rsid w:val="00565A79"/>
    <w:rsid w:val="00567D67"/>
    <w:rsid w:val="00572AE2"/>
    <w:rsid w:val="00575FBC"/>
    <w:rsid w:val="00576772"/>
    <w:rsid w:val="00595937"/>
    <w:rsid w:val="005A5A41"/>
    <w:rsid w:val="005B1D1A"/>
    <w:rsid w:val="005D15DC"/>
    <w:rsid w:val="005D50AA"/>
    <w:rsid w:val="005D7BDC"/>
    <w:rsid w:val="005E05C9"/>
    <w:rsid w:val="005E0E5D"/>
    <w:rsid w:val="005E0F99"/>
    <w:rsid w:val="005E35B2"/>
    <w:rsid w:val="005F02CC"/>
    <w:rsid w:val="005F2254"/>
    <w:rsid w:val="006001F3"/>
    <w:rsid w:val="00601EEF"/>
    <w:rsid w:val="00606363"/>
    <w:rsid w:val="00606610"/>
    <w:rsid w:val="00614E05"/>
    <w:rsid w:val="006330A9"/>
    <w:rsid w:val="00653CB6"/>
    <w:rsid w:val="00657094"/>
    <w:rsid w:val="00663E13"/>
    <w:rsid w:val="00665EA8"/>
    <w:rsid w:val="00680D62"/>
    <w:rsid w:val="006810E2"/>
    <w:rsid w:val="006828CB"/>
    <w:rsid w:val="00684114"/>
    <w:rsid w:val="00684A09"/>
    <w:rsid w:val="006866D0"/>
    <w:rsid w:val="00694FF3"/>
    <w:rsid w:val="006B4840"/>
    <w:rsid w:val="006F4032"/>
    <w:rsid w:val="006F4AA9"/>
    <w:rsid w:val="00704A2A"/>
    <w:rsid w:val="007115DC"/>
    <w:rsid w:val="00712D86"/>
    <w:rsid w:val="00714084"/>
    <w:rsid w:val="00717467"/>
    <w:rsid w:val="007257FB"/>
    <w:rsid w:val="0073259E"/>
    <w:rsid w:val="00737945"/>
    <w:rsid w:val="00744743"/>
    <w:rsid w:val="00745A0F"/>
    <w:rsid w:val="00745E80"/>
    <w:rsid w:val="00757125"/>
    <w:rsid w:val="00757BCD"/>
    <w:rsid w:val="00762D54"/>
    <w:rsid w:val="007810A2"/>
    <w:rsid w:val="00781A8A"/>
    <w:rsid w:val="00786D54"/>
    <w:rsid w:val="00790A47"/>
    <w:rsid w:val="007916DC"/>
    <w:rsid w:val="007A0692"/>
    <w:rsid w:val="007A2BAA"/>
    <w:rsid w:val="007A67C4"/>
    <w:rsid w:val="007A734E"/>
    <w:rsid w:val="007A7E41"/>
    <w:rsid w:val="007C19B7"/>
    <w:rsid w:val="007E1FD9"/>
    <w:rsid w:val="007E51DE"/>
    <w:rsid w:val="0081004E"/>
    <w:rsid w:val="00810120"/>
    <w:rsid w:val="00832849"/>
    <w:rsid w:val="008454C0"/>
    <w:rsid w:val="00847097"/>
    <w:rsid w:val="008545A4"/>
    <w:rsid w:val="00854A11"/>
    <w:rsid w:val="00871A3F"/>
    <w:rsid w:val="0087694B"/>
    <w:rsid w:val="0088252A"/>
    <w:rsid w:val="00891C05"/>
    <w:rsid w:val="008974FC"/>
    <w:rsid w:val="008A7AE5"/>
    <w:rsid w:val="008B03DF"/>
    <w:rsid w:val="008B173E"/>
    <w:rsid w:val="008C30AC"/>
    <w:rsid w:val="008C3479"/>
    <w:rsid w:val="008D0889"/>
    <w:rsid w:val="008D3444"/>
    <w:rsid w:val="008D49BC"/>
    <w:rsid w:val="008E4100"/>
    <w:rsid w:val="008F28DF"/>
    <w:rsid w:val="008F6978"/>
    <w:rsid w:val="00906CCA"/>
    <w:rsid w:val="0091144C"/>
    <w:rsid w:val="00913756"/>
    <w:rsid w:val="009172B8"/>
    <w:rsid w:val="00932CB8"/>
    <w:rsid w:val="00937A1B"/>
    <w:rsid w:val="0094057A"/>
    <w:rsid w:val="009410A5"/>
    <w:rsid w:val="00941336"/>
    <w:rsid w:val="009430F9"/>
    <w:rsid w:val="00967A81"/>
    <w:rsid w:val="00973D36"/>
    <w:rsid w:val="009748D3"/>
    <w:rsid w:val="0098071D"/>
    <w:rsid w:val="009A09E4"/>
    <w:rsid w:val="009A2DE1"/>
    <w:rsid w:val="009C0F63"/>
    <w:rsid w:val="009C196D"/>
    <w:rsid w:val="009C19E7"/>
    <w:rsid w:val="009C541E"/>
    <w:rsid w:val="009D48E4"/>
    <w:rsid w:val="009E220A"/>
    <w:rsid w:val="009E2D3D"/>
    <w:rsid w:val="009F4604"/>
    <w:rsid w:val="009F5E3D"/>
    <w:rsid w:val="009F7574"/>
    <w:rsid w:val="00A0570F"/>
    <w:rsid w:val="00A061B1"/>
    <w:rsid w:val="00A076DC"/>
    <w:rsid w:val="00A110A4"/>
    <w:rsid w:val="00A118D3"/>
    <w:rsid w:val="00A12490"/>
    <w:rsid w:val="00A12FD0"/>
    <w:rsid w:val="00A25406"/>
    <w:rsid w:val="00A25AFF"/>
    <w:rsid w:val="00A33A14"/>
    <w:rsid w:val="00A34328"/>
    <w:rsid w:val="00A40A80"/>
    <w:rsid w:val="00A43D97"/>
    <w:rsid w:val="00A5498D"/>
    <w:rsid w:val="00A646C6"/>
    <w:rsid w:val="00A65F91"/>
    <w:rsid w:val="00A77D0F"/>
    <w:rsid w:val="00A8404C"/>
    <w:rsid w:val="00A875DB"/>
    <w:rsid w:val="00A87EC8"/>
    <w:rsid w:val="00A971C7"/>
    <w:rsid w:val="00AA2D71"/>
    <w:rsid w:val="00AA4466"/>
    <w:rsid w:val="00AA5B80"/>
    <w:rsid w:val="00AB1BE2"/>
    <w:rsid w:val="00AB3512"/>
    <w:rsid w:val="00AB55BA"/>
    <w:rsid w:val="00AC1CBB"/>
    <w:rsid w:val="00AC2162"/>
    <w:rsid w:val="00AD2837"/>
    <w:rsid w:val="00AD2A32"/>
    <w:rsid w:val="00AD46DA"/>
    <w:rsid w:val="00AD5C04"/>
    <w:rsid w:val="00AD60B1"/>
    <w:rsid w:val="00AE1AA8"/>
    <w:rsid w:val="00AE59D3"/>
    <w:rsid w:val="00AE6704"/>
    <w:rsid w:val="00AE7C00"/>
    <w:rsid w:val="00AF099F"/>
    <w:rsid w:val="00AF6983"/>
    <w:rsid w:val="00B0589B"/>
    <w:rsid w:val="00B05A30"/>
    <w:rsid w:val="00B10BE5"/>
    <w:rsid w:val="00B1381C"/>
    <w:rsid w:val="00B21F4C"/>
    <w:rsid w:val="00B22C73"/>
    <w:rsid w:val="00B26EAC"/>
    <w:rsid w:val="00B329A2"/>
    <w:rsid w:val="00B36BF0"/>
    <w:rsid w:val="00B4309C"/>
    <w:rsid w:val="00B43F84"/>
    <w:rsid w:val="00B44CA1"/>
    <w:rsid w:val="00B46B1C"/>
    <w:rsid w:val="00B52324"/>
    <w:rsid w:val="00B53C01"/>
    <w:rsid w:val="00B57C3E"/>
    <w:rsid w:val="00B653AC"/>
    <w:rsid w:val="00B67680"/>
    <w:rsid w:val="00B74BC2"/>
    <w:rsid w:val="00B764F5"/>
    <w:rsid w:val="00B87208"/>
    <w:rsid w:val="00B91352"/>
    <w:rsid w:val="00B92D2D"/>
    <w:rsid w:val="00BA4076"/>
    <w:rsid w:val="00BB29EA"/>
    <w:rsid w:val="00BB48E3"/>
    <w:rsid w:val="00BB7E90"/>
    <w:rsid w:val="00BC0052"/>
    <w:rsid w:val="00BC0C67"/>
    <w:rsid w:val="00BC4A15"/>
    <w:rsid w:val="00BE0407"/>
    <w:rsid w:val="00BF20C2"/>
    <w:rsid w:val="00BF5FE8"/>
    <w:rsid w:val="00BF77F9"/>
    <w:rsid w:val="00C028E2"/>
    <w:rsid w:val="00C0647A"/>
    <w:rsid w:val="00C07017"/>
    <w:rsid w:val="00C07CD2"/>
    <w:rsid w:val="00C10D3B"/>
    <w:rsid w:val="00C165D0"/>
    <w:rsid w:val="00C16638"/>
    <w:rsid w:val="00C17C62"/>
    <w:rsid w:val="00C2404A"/>
    <w:rsid w:val="00C329BA"/>
    <w:rsid w:val="00C35A89"/>
    <w:rsid w:val="00C374D0"/>
    <w:rsid w:val="00C519D1"/>
    <w:rsid w:val="00C62AF9"/>
    <w:rsid w:val="00C83F04"/>
    <w:rsid w:val="00C84DB9"/>
    <w:rsid w:val="00C85DD1"/>
    <w:rsid w:val="00C92ADD"/>
    <w:rsid w:val="00C97A9F"/>
    <w:rsid w:val="00CA3366"/>
    <w:rsid w:val="00CA37BF"/>
    <w:rsid w:val="00CB66B2"/>
    <w:rsid w:val="00CE6222"/>
    <w:rsid w:val="00CF1091"/>
    <w:rsid w:val="00CF2E08"/>
    <w:rsid w:val="00CF5DFE"/>
    <w:rsid w:val="00CF634C"/>
    <w:rsid w:val="00CF6A66"/>
    <w:rsid w:val="00D01B62"/>
    <w:rsid w:val="00D05CC3"/>
    <w:rsid w:val="00D251FA"/>
    <w:rsid w:val="00D416C5"/>
    <w:rsid w:val="00D44976"/>
    <w:rsid w:val="00D5445F"/>
    <w:rsid w:val="00D611F9"/>
    <w:rsid w:val="00D7541D"/>
    <w:rsid w:val="00D807A5"/>
    <w:rsid w:val="00D92AA9"/>
    <w:rsid w:val="00DA4B7E"/>
    <w:rsid w:val="00DA52CA"/>
    <w:rsid w:val="00DA541C"/>
    <w:rsid w:val="00DB26CC"/>
    <w:rsid w:val="00DB328F"/>
    <w:rsid w:val="00DB6DC2"/>
    <w:rsid w:val="00DB7C69"/>
    <w:rsid w:val="00DC00B6"/>
    <w:rsid w:val="00DC7416"/>
    <w:rsid w:val="00DE1401"/>
    <w:rsid w:val="00DE47F7"/>
    <w:rsid w:val="00DE7A55"/>
    <w:rsid w:val="00DF17FD"/>
    <w:rsid w:val="00DF6FBB"/>
    <w:rsid w:val="00DF71E7"/>
    <w:rsid w:val="00E01218"/>
    <w:rsid w:val="00E02BD5"/>
    <w:rsid w:val="00E1320E"/>
    <w:rsid w:val="00E133CC"/>
    <w:rsid w:val="00E13492"/>
    <w:rsid w:val="00E15A91"/>
    <w:rsid w:val="00E16105"/>
    <w:rsid w:val="00E3289A"/>
    <w:rsid w:val="00E341A2"/>
    <w:rsid w:val="00E46BAC"/>
    <w:rsid w:val="00E52936"/>
    <w:rsid w:val="00E5588E"/>
    <w:rsid w:val="00E57A90"/>
    <w:rsid w:val="00E76BB1"/>
    <w:rsid w:val="00E919A4"/>
    <w:rsid w:val="00EA4CB8"/>
    <w:rsid w:val="00EB5EE3"/>
    <w:rsid w:val="00ED27F6"/>
    <w:rsid w:val="00ED3635"/>
    <w:rsid w:val="00ED4BAF"/>
    <w:rsid w:val="00EE3654"/>
    <w:rsid w:val="00EE57D3"/>
    <w:rsid w:val="00EE6736"/>
    <w:rsid w:val="00EE722F"/>
    <w:rsid w:val="00EF098D"/>
    <w:rsid w:val="00F01E37"/>
    <w:rsid w:val="00F04122"/>
    <w:rsid w:val="00F06602"/>
    <w:rsid w:val="00F12A2B"/>
    <w:rsid w:val="00F1373D"/>
    <w:rsid w:val="00F31E15"/>
    <w:rsid w:val="00F32938"/>
    <w:rsid w:val="00F34C0E"/>
    <w:rsid w:val="00F42A87"/>
    <w:rsid w:val="00F55931"/>
    <w:rsid w:val="00F56116"/>
    <w:rsid w:val="00F72A60"/>
    <w:rsid w:val="00F84938"/>
    <w:rsid w:val="00F90351"/>
    <w:rsid w:val="00FA1930"/>
    <w:rsid w:val="00FB1132"/>
    <w:rsid w:val="00FB3EE0"/>
    <w:rsid w:val="00FC1D34"/>
    <w:rsid w:val="00FD0BB4"/>
    <w:rsid w:val="00FD18AB"/>
    <w:rsid w:val="00FD7084"/>
    <w:rsid w:val="00FE4ABA"/>
    <w:rsid w:val="00FF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577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pacing w:val="-6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E276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E2765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2E276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E2765"/>
    <w:rPr>
      <w:rFonts w:ascii="Calibri" w:eastAsia="Calibri" w:hAnsi="Calibri" w:cs="Times New Roman"/>
    </w:rPr>
  </w:style>
  <w:style w:type="paragraph" w:styleId="a8">
    <w:name w:val="footnote text"/>
    <w:basedOn w:val="a0"/>
    <w:link w:val="a9"/>
    <w:uiPriority w:val="99"/>
    <w:semiHidden/>
    <w:unhideWhenUsed/>
    <w:rsid w:val="00737945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73794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1"/>
    <w:uiPriority w:val="99"/>
    <w:semiHidden/>
    <w:unhideWhenUsed/>
    <w:rsid w:val="00737945"/>
    <w:rPr>
      <w:vertAlign w:val="superscript"/>
    </w:rPr>
  </w:style>
  <w:style w:type="paragraph" w:styleId="ab">
    <w:name w:val="List Paragraph"/>
    <w:basedOn w:val="a0"/>
    <w:uiPriority w:val="34"/>
    <w:qFormat/>
    <w:rsid w:val="003F6CC8"/>
    <w:pPr>
      <w:ind w:left="720"/>
      <w:contextualSpacing/>
    </w:pPr>
  </w:style>
  <w:style w:type="character" w:styleId="ac">
    <w:name w:val="annotation reference"/>
    <w:basedOn w:val="a1"/>
    <w:uiPriority w:val="99"/>
    <w:semiHidden/>
    <w:unhideWhenUsed/>
    <w:rsid w:val="001A1F2E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1A1F2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1A1F2E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A1F2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A1F2E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1A1F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1A1F2E"/>
    <w:rPr>
      <w:rFonts w:ascii="Tahoma" w:eastAsia="Calibri" w:hAnsi="Tahoma" w:cs="Tahoma"/>
      <w:sz w:val="16"/>
      <w:szCs w:val="16"/>
    </w:rPr>
  </w:style>
  <w:style w:type="character" w:styleId="af3">
    <w:name w:val="Hyperlink"/>
    <w:basedOn w:val="a1"/>
    <w:uiPriority w:val="99"/>
    <w:unhideWhenUsed/>
    <w:rsid w:val="00535813"/>
    <w:rPr>
      <w:color w:val="0000FF" w:themeColor="hyperlink"/>
      <w:u w:val="single"/>
    </w:rPr>
  </w:style>
  <w:style w:type="paragraph" w:styleId="a">
    <w:name w:val="No Spacing"/>
    <w:basedOn w:val="ab"/>
    <w:uiPriority w:val="1"/>
    <w:qFormat/>
    <w:rsid w:val="00A12490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4510B-B295-4ACD-9DC1-8DD4302035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4FAB06-7445-42A8-B3CC-418BA14C2F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22EFC9-F10C-415C-A5D1-4A280DCE15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1FF3C9-F0FF-4307-B923-3B54DB8404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DF7C16-83CB-468B-932E-BD93164CBBC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B869E13-BA9B-4A1D-AEF0-E8E4D8DCF2F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7DBCAD3-C48B-4DD9-B747-7905C5A0A50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C6E2D1F-79ED-47D4-8829-4DB40B03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3996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mar6420</cp:lastModifiedBy>
  <cp:revision>2</cp:revision>
  <cp:lastPrinted>2018-01-26T08:53:00Z</cp:lastPrinted>
  <dcterms:created xsi:type="dcterms:W3CDTF">2018-02-05T06:32:00Z</dcterms:created>
  <dcterms:modified xsi:type="dcterms:W3CDTF">2018-02-05T06:32:00Z</dcterms:modified>
</cp:coreProperties>
</file>