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A34" w:rsidRDefault="00D04BAF" w:rsidP="000B22B6">
      <w:pPr>
        <w:tabs>
          <w:tab w:val="left" w:pos="2070"/>
          <w:tab w:val="left" w:pos="3015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22B6">
        <w:rPr>
          <w:rFonts w:ascii="Times New Roman" w:eastAsia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0B22B6" w:rsidRPr="000B22B6" w:rsidRDefault="00D04BAF" w:rsidP="000B22B6">
      <w:pPr>
        <w:tabs>
          <w:tab w:val="left" w:pos="2070"/>
          <w:tab w:val="left" w:pos="3015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22B6">
        <w:rPr>
          <w:rFonts w:ascii="Times New Roman" w:eastAsia="Times New Roman" w:hAnsi="Times New Roman" w:cs="Times New Roman"/>
          <w:b/>
          <w:sz w:val="28"/>
          <w:szCs w:val="28"/>
        </w:rPr>
        <w:t xml:space="preserve">к </w:t>
      </w:r>
      <w:r w:rsidR="000B22B6" w:rsidRPr="000B22B6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Отчету о результатах мониторинга качества финансового менеджмента в отношении главных администраторов средств </w:t>
      </w:r>
      <w:proofErr w:type="gramStart"/>
      <w:r w:rsidR="000B22B6" w:rsidRPr="000B22B6">
        <w:rPr>
          <w:rFonts w:ascii="Times New Roman" w:eastAsia="Times New Roman" w:hAnsi="Times New Roman" w:cs="Times New Roman"/>
          <w:b/>
          <w:sz w:val="28"/>
          <w:szCs w:val="28"/>
        </w:rPr>
        <w:t>бюджета</w:t>
      </w:r>
      <w:proofErr w:type="gramEnd"/>
      <w:r w:rsidR="000B22B6" w:rsidRPr="000B22B6">
        <w:rPr>
          <w:rFonts w:ascii="Times New Roman" w:eastAsia="Times New Roman" w:hAnsi="Times New Roman" w:cs="Times New Roman"/>
          <w:b/>
          <w:sz w:val="28"/>
          <w:szCs w:val="28"/>
        </w:rPr>
        <w:t xml:space="preserve"> ЗАТО г. Радужный Владимирской области за 202</w:t>
      </w:r>
      <w:r w:rsidR="009957E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0B22B6" w:rsidRPr="000B22B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0B22B6" w:rsidRDefault="000B22B6" w:rsidP="000B2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181" w:rsidRDefault="00596A3F" w:rsidP="00596A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5A34">
        <w:rPr>
          <w:rFonts w:ascii="Times New Roman" w:hAnsi="Times New Roman" w:cs="Times New Roman"/>
          <w:sz w:val="28"/>
          <w:szCs w:val="28"/>
        </w:rPr>
        <w:t>21</w:t>
      </w:r>
      <w:r w:rsidR="0034530B">
        <w:rPr>
          <w:rFonts w:ascii="Times New Roman" w:hAnsi="Times New Roman" w:cs="Times New Roman"/>
          <w:sz w:val="28"/>
          <w:szCs w:val="28"/>
        </w:rPr>
        <w:t xml:space="preserve"> июня</w:t>
      </w:r>
      <w:r w:rsidR="00EC534C">
        <w:rPr>
          <w:rFonts w:ascii="Times New Roman" w:hAnsi="Times New Roman" w:cs="Times New Roman"/>
          <w:sz w:val="28"/>
          <w:szCs w:val="28"/>
        </w:rPr>
        <w:t xml:space="preserve"> 202</w:t>
      </w:r>
      <w:r w:rsidR="009957E0">
        <w:rPr>
          <w:rFonts w:ascii="Times New Roman" w:hAnsi="Times New Roman" w:cs="Times New Roman"/>
          <w:sz w:val="28"/>
          <w:szCs w:val="28"/>
        </w:rPr>
        <w:t>2</w:t>
      </w:r>
      <w:r w:rsidR="0034530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02E70" w:rsidRPr="00602E70" w:rsidRDefault="00602E70" w:rsidP="00602E70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B22B6" w:rsidRPr="009957E0" w:rsidRDefault="000B22B6" w:rsidP="00596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E0">
        <w:rPr>
          <w:rFonts w:ascii="Times New Roman" w:hAnsi="Times New Roman" w:cs="Times New Roman"/>
          <w:sz w:val="28"/>
          <w:szCs w:val="28"/>
        </w:rPr>
        <w:t xml:space="preserve">Мониторинг качества финансового менеджмента, осуществляемого </w:t>
      </w:r>
      <w:r w:rsidR="00596A3F" w:rsidRPr="007D3C3D">
        <w:rPr>
          <w:rFonts w:ascii="Times New Roman" w:hAnsi="Times New Roman" w:cs="Times New Roman"/>
          <w:sz w:val="28"/>
          <w:szCs w:val="28"/>
        </w:rPr>
        <w:t xml:space="preserve">главными администраторами (администраторами) доходов городского бюджета, главными распорядителями (распорядителями) средств городского бюджета, главными администраторами (администраторами) источников финансирования дефицита городского бюджета (далее </w:t>
      </w:r>
      <w:r w:rsidR="00596A3F">
        <w:rPr>
          <w:rFonts w:ascii="Times New Roman" w:hAnsi="Times New Roman" w:cs="Times New Roman"/>
          <w:sz w:val="28"/>
          <w:szCs w:val="28"/>
        </w:rPr>
        <w:t>–</w:t>
      </w:r>
      <w:r w:rsidR="00596A3F" w:rsidRPr="007D3C3D">
        <w:rPr>
          <w:rFonts w:ascii="Times New Roman" w:hAnsi="Times New Roman" w:cs="Times New Roman"/>
          <w:sz w:val="28"/>
          <w:szCs w:val="28"/>
        </w:rPr>
        <w:t xml:space="preserve"> главные администраторы средств городского бюджета)</w:t>
      </w:r>
      <w:r w:rsidRPr="009957E0">
        <w:rPr>
          <w:rFonts w:ascii="Times New Roman" w:hAnsi="Times New Roman" w:cs="Times New Roman"/>
          <w:sz w:val="28"/>
          <w:szCs w:val="28"/>
        </w:rPr>
        <w:t>, за 202</w:t>
      </w:r>
      <w:r w:rsidR="009957E0" w:rsidRPr="009957E0">
        <w:rPr>
          <w:rFonts w:ascii="Times New Roman" w:hAnsi="Times New Roman" w:cs="Times New Roman"/>
          <w:sz w:val="28"/>
          <w:szCs w:val="28"/>
        </w:rPr>
        <w:t>1</w:t>
      </w:r>
      <w:r w:rsidRPr="009957E0">
        <w:rPr>
          <w:rFonts w:ascii="Times New Roman" w:hAnsi="Times New Roman" w:cs="Times New Roman"/>
          <w:sz w:val="28"/>
          <w:szCs w:val="28"/>
        </w:rPr>
        <w:t xml:space="preserve"> год </w:t>
      </w:r>
      <w:r w:rsidR="000F7D61">
        <w:rPr>
          <w:rFonts w:ascii="Times New Roman" w:hAnsi="Times New Roman" w:cs="Times New Roman"/>
          <w:sz w:val="28"/>
          <w:szCs w:val="28"/>
        </w:rPr>
        <w:t>осуществлен</w:t>
      </w:r>
      <w:r w:rsidRPr="009957E0">
        <w:rPr>
          <w:rFonts w:ascii="Times New Roman" w:hAnsi="Times New Roman" w:cs="Times New Roman"/>
          <w:sz w:val="28"/>
          <w:szCs w:val="28"/>
        </w:rPr>
        <w:t xml:space="preserve"> в соответствии с Порядком проведения мониторинга качества финансового менеджмента в отношении главных администраторов средств </w:t>
      </w:r>
      <w:proofErr w:type="gramStart"/>
      <w:r w:rsidRPr="009957E0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9957E0"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области, утвержденным приказом финансового управления администрации ЗАТО </w:t>
      </w:r>
      <w:proofErr w:type="gramStart"/>
      <w:r w:rsidRPr="009957E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957E0">
        <w:rPr>
          <w:rFonts w:ascii="Times New Roman" w:hAnsi="Times New Roman" w:cs="Times New Roman"/>
          <w:sz w:val="28"/>
          <w:szCs w:val="28"/>
        </w:rPr>
        <w:t>. Радужный Владимирской области от 17.09.2020 №</w:t>
      </w:r>
      <w:r w:rsidR="000F7D61">
        <w:rPr>
          <w:rFonts w:ascii="Times New Roman" w:hAnsi="Times New Roman" w:cs="Times New Roman"/>
          <w:sz w:val="28"/>
          <w:szCs w:val="28"/>
        </w:rPr>
        <w:t xml:space="preserve"> </w:t>
      </w:r>
      <w:r w:rsidRPr="009957E0">
        <w:rPr>
          <w:rFonts w:ascii="Times New Roman" w:hAnsi="Times New Roman" w:cs="Times New Roman"/>
          <w:sz w:val="28"/>
          <w:szCs w:val="28"/>
        </w:rPr>
        <w:t>64</w:t>
      </w:r>
      <w:r w:rsidR="004A3883" w:rsidRPr="009957E0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9957E0">
        <w:rPr>
          <w:rFonts w:ascii="Times New Roman" w:hAnsi="Times New Roman" w:cs="Times New Roman"/>
          <w:sz w:val="28"/>
          <w:szCs w:val="28"/>
        </w:rPr>
        <w:t xml:space="preserve">, </w:t>
      </w:r>
      <w:r w:rsidR="004A3883" w:rsidRPr="009957E0">
        <w:rPr>
          <w:rFonts w:ascii="Times New Roman" w:hAnsi="Times New Roman" w:cs="Times New Roman"/>
          <w:sz w:val="28"/>
          <w:szCs w:val="28"/>
        </w:rPr>
        <w:t>в целях реализации</w:t>
      </w:r>
      <w:r w:rsidRPr="009957E0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4A3883" w:rsidRPr="009957E0">
        <w:rPr>
          <w:rFonts w:ascii="Times New Roman" w:hAnsi="Times New Roman" w:cs="Times New Roman"/>
          <w:sz w:val="28"/>
          <w:szCs w:val="28"/>
        </w:rPr>
        <w:t>й, предусмотренных</w:t>
      </w:r>
      <w:r w:rsidRPr="009957E0">
        <w:rPr>
          <w:rFonts w:ascii="Times New Roman" w:hAnsi="Times New Roman" w:cs="Times New Roman"/>
          <w:sz w:val="28"/>
          <w:szCs w:val="28"/>
        </w:rPr>
        <w:t xml:space="preserve"> частью 6 статьи 160.2-1 Бюджетного кодекса Российской Федерации.</w:t>
      </w:r>
    </w:p>
    <w:p w:rsidR="00D12DAE" w:rsidRDefault="00D12DAE" w:rsidP="00D12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C3A2A">
        <w:rPr>
          <w:rFonts w:ascii="Times New Roman" w:hAnsi="Times New Roman" w:cs="Times New Roman"/>
          <w:sz w:val="28"/>
          <w:szCs w:val="28"/>
        </w:rPr>
        <w:t xml:space="preserve">ониторинг </w:t>
      </w:r>
      <w:r>
        <w:rPr>
          <w:rFonts w:ascii="Times New Roman" w:hAnsi="Times New Roman" w:cs="Times New Roman"/>
          <w:sz w:val="28"/>
          <w:szCs w:val="28"/>
        </w:rPr>
        <w:t>качества финансового менеджмента проведен в целях:</w:t>
      </w:r>
    </w:p>
    <w:p w:rsidR="00D12DAE" w:rsidRDefault="00D12DAE" w:rsidP="00D12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оценки</w:t>
      </w:r>
      <w:r w:rsidRPr="00FC3A2A">
        <w:rPr>
          <w:rFonts w:ascii="Times New Roman" w:hAnsi="Times New Roman" w:cs="Times New Roman"/>
          <w:sz w:val="28"/>
          <w:szCs w:val="28"/>
        </w:rPr>
        <w:t xml:space="preserve"> оптимальности (точности, обоснованности и эффективности) процедур планирования </w:t>
      </w:r>
      <w:r w:rsidR="00596A3F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FC3A2A">
        <w:rPr>
          <w:rFonts w:ascii="Times New Roman" w:hAnsi="Times New Roman" w:cs="Times New Roman"/>
          <w:sz w:val="28"/>
          <w:szCs w:val="28"/>
        </w:rPr>
        <w:t>бюджета, сроков и объемов его исполнения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2DAE" w:rsidRDefault="00D12DAE" w:rsidP="00D12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выявления и пресечения бюджетных рисков, в том числе </w:t>
      </w:r>
      <w:r w:rsidRPr="00951AD3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некачественного исполнения городского </w:t>
      </w:r>
      <w:r w:rsidRPr="00951AD3">
        <w:rPr>
          <w:rFonts w:ascii="Times New Roman" w:hAnsi="Times New Roman" w:cs="Times New Roman"/>
          <w:sz w:val="28"/>
          <w:szCs w:val="28"/>
        </w:rPr>
        <w:t xml:space="preserve">бюджета, </w:t>
      </w:r>
      <w:r>
        <w:rPr>
          <w:rFonts w:ascii="Times New Roman" w:hAnsi="Times New Roman" w:cs="Times New Roman"/>
          <w:sz w:val="28"/>
          <w:szCs w:val="28"/>
        </w:rPr>
        <w:t>неэ</w:t>
      </w:r>
      <w:r w:rsidRPr="00951AD3">
        <w:rPr>
          <w:rFonts w:ascii="Times New Roman" w:hAnsi="Times New Roman" w:cs="Times New Roman"/>
          <w:sz w:val="28"/>
          <w:szCs w:val="28"/>
        </w:rPr>
        <w:t>ффективных или необоснованных расходов городского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2DAE" w:rsidRDefault="00D12DAE" w:rsidP="00D12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4A6CA5">
        <w:rPr>
          <w:rFonts w:ascii="Times New Roman" w:hAnsi="Times New Roman" w:cs="Times New Roman"/>
          <w:sz w:val="28"/>
          <w:szCs w:val="28"/>
        </w:rPr>
        <w:t xml:space="preserve">подготовки 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главными администраторами средств городского бюджета </w:t>
      </w:r>
      <w:r w:rsidRPr="004A6CA5">
        <w:rPr>
          <w:rFonts w:ascii="Times New Roman" w:hAnsi="Times New Roman" w:cs="Times New Roman"/>
          <w:sz w:val="28"/>
          <w:szCs w:val="28"/>
        </w:rPr>
        <w:t>мер, направл</w:t>
      </w:r>
      <w:r w:rsidR="000F7D61">
        <w:rPr>
          <w:rFonts w:ascii="Times New Roman" w:hAnsi="Times New Roman" w:cs="Times New Roman"/>
          <w:sz w:val="28"/>
          <w:szCs w:val="28"/>
        </w:rPr>
        <w:t>енных на миними</w:t>
      </w:r>
      <w:r w:rsidRPr="004A6CA5">
        <w:rPr>
          <w:rFonts w:ascii="Times New Roman" w:hAnsi="Times New Roman" w:cs="Times New Roman"/>
          <w:sz w:val="28"/>
          <w:szCs w:val="28"/>
        </w:rPr>
        <w:t>зацию (устранение) бюджетных рисков, по</w:t>
      </w:r>
      <w:r w:rsidR="000F7D61">
        <w:rPr>
          <w:rFonts w:ascii="Times New Roman" w:hAnsi="Times New Roman" w:cs="Times New Roman"/>
          <w:sz w:val="28"/>
          <w:szCs w:val="28"/>
        </w:rPr>
        <w:t>вышение качества финансового ме</w:t>
      </w:r>
      <w:r w:rsidRPr="004A6CA5">
        <w:rPr>
          <w:rFonts w:ascii="Times New Roman" w:hAnsi="Times New Roman" w:cs="Times New Roman"/>
          <w:sz w:val="28"/>
          <w:szCs w:val="28"/>
        </w:rPr>
        <w:t>неджмента, в том числе на достижение целевых значений показателей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CA5">
        <w:rPr>
          <w:rFonts w:ascii="Times New Roman" w:hAnsi="Times New Roman" w:cs="Times New Roman"/>
          <w:sz w:val="28"/>
          <w:szCs w:val="28"/>
        </w:rPr>
        <w:t>финансового менеджмента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57E0" w:rsidRPr="009957E0" w:rsidRDefault="000B22B6" w:rsidP="00995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E0">
        <w:rPr>
          <w:rFonts w:ascii="Times New Roman" w:hAnsi="Times New Roman" w:cs="Times New Roman"/>
          <w:sz w:val="28"/>
          <w:szCs w:val="28"/>
        </w:rPr>
        <w:t>При проведении мониторинга анализировались и оценивались результаты выполнения главными админист</w:t>
      </w:r>
      <w:r w:rsidR="009957E0" w:rsidRPr="009957E0">
        <w:rPr>
          <w:rFonts w:ascii="Times New Roman" w:hAnsi="Times New Roman" w:cs="Times New Roman"/>
          <w:sz w:val="28"/>
          <w:szCs w:val="28"/>
        </w:rPr>
        <w:t xml:space="preserve">раторами </w:t>
      </w:r>
      <w:r w:rsidR="00596A3F">
        <w:rPr>
          <w:rFonts w:ascii="Times New Roman" w:hAnsi="Times New Roman" w:cs="Times New Roman"/>
          <w:sz w:val="28"/>
          <w:szCs w:val="28"/>
        </w:rPr>
        <w:t>средств городского бюджета</w:t>
      </w:r>
      <w:r w:rsidR="00596A3F" w:rsidRPr="009957E0">
        <w:rPr>
          <w:rFonts w:ascii="Times New Roman" w:hAnsi="Times New Roman" w:cs="Times New Roman"/>
          <w:sz w:val="28"/>
          <w:szCs w:val="28"/>
        </w:rPr>
        <w:t xml:space="preserve"> </w:t>
      </w:r>
      <w:r w:rsidR="009957E0" w:rsidRPr="009957E0">
        <w:rPr>
          <w:rFonts w:ascii="Times New Roman" w:hAnsi="Times New Roman" w:cs="Times New Roman"/>
          <w:sz w:val="28"/>
          <w:szCs w:val="28"/>
        </w:rPr>
        <w:t>процедур и операций, необходимых для исполнения бюджетных полномочий, установленных бюджетным законодательством Российской Федерации</w:t>
      </w:r>
      <w:r w:rsidR="006A5A34">
        <w:rPr>
          <w:rFonts w:ascii="Times New Roman" w:hAnsi="Times New Roman" w:cs="Times New Roman"/>
          <w:sz w:val="28"/>
          <w:szCs w:val="28"/>
        </w:rPr>
        <w:t>, в части</w:t>
      </w:r>
      <w:r w:rsidR="009957E0" w:rsidRPr="009957E0">
        <w:rPr>
          <w:rFonts w:ascii="Times New Roman" w:hAnsi="Times New Roman" w:cs="Times New Roman"/>
          <w:sz w:val="28"/>
          <w:szCs w:val="28"/>
        </w:rPr>
        <w:t>:</w:t>
      </w:r>
    </w:p>
    <w:p w:rsidR="009957E0" w:rsidRPr="009957E0" w:rsidRDefault="009957E0" w:rsidP="00995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E0">
        <w:rPr>
          <w:rFonts w:ascii="Times New Roman" w:hAnsi="Times New Roman" w:cs="Times New Roman"/>
          <w:sz w:val="28"/>
          <w:szCs w:val="28"/>
        </w:rPr>
        <w:t xml:space="preserve">- </w:t>
      </w:r>
      <w:r w:rsidR="000B22B6" w:rsidRPr="009957E0">
        <w:rPr>
          <w:rFonts w:ascii="Times New Roman" w:hAnsi="Times New Roman" w:cs="Times New Roman"/>
          <w:sz w:val="28"/>
          <w:szCs w:val="28"/>
        </w:rPr>
        <w:t>планировани</w:t>
      </w:r>
      <w:r w:rsidR="006A5A34">
        <w:rPr>
          <w:rFonts w:ascii="Times New Roman" w:hAnsi="Times New Roman" w:cs="Times New Roman"/>
          <w:sz w:val="28"/>
          <w:szCs w:val="28"/>
        </w:rPr>
        <w:t>я</w:t>
      </w:r>
      <w:r w:rsidR="000B22B6" w:rsidRPr="009957E0">
        <w:rPr>
          <w:rFonts w:ascii="Times New Roman" w:hAnsi="Times New Roman" w:cs="Times New Roman"/>
          <w:sz w:val="28"/>
          <w:szCs w:val="28"/>
        </w:rPr>
        <w:t xml:space="preserve"> и исполнени</w:t>
      </w:r>
      <w:r w:rsidR="006A5A34">
        <w:rPr>
          <w:rFonts w:ascii="Times New Roman" w:hAnsi="Times New Roman" w:cs="Times New Roman"/>
          <w:sz w:val="28"/>
          <w:szCs w:val="28"/>
        </w:rPr>
        <w:t>я</w:t>
      </w:r>
      <w:r w:rsidR="000B22B6" w:rsidRPr="009957E0">
        <w:rPr>
          <w:rFonts w:ascii="Times New Roman" w:hAnsi="Times New Roman" w:cs="Times New Roman"/>
          <w:sz w:val="28"/>
          <w:szCs w:val="28"/>
        </w:rPr>
        <w:t xml:space="preserve"> городского бюджета, </w:t>
      </w:r>
    </w:p>
    <w:p w:rsidR="009957E0" w:rsidRPr="009957E0" w:rsidRDefault="009957E0" w:rsidP="00995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E0">
        <w:rPr>
          <w:rFonts w:ascii="Times New Roman" w:hAnsi="Times New Roman" w:cs="Times New Roman"/>
          <w:sz w:val="28"/>
          <w:szCs w:val="28"/>
        </w:rPr>
        <w:t>- исполнени</w:t>
      </w:r>
      <w:r w:rsidR="006A5A34">
        <w:rPr>
          <w:rFonts w:ascii="Times New Roman" w:hAnsi="Times New Roman" w:cs="Times New Roman"/>
          <w:sz w:val="28"/>
          <w:szCs w:val="28"/>
        </w:rPr>
        <w:t>я</w:t>
      </w:r>
      <w:r w:rsidRPr="009957E0">
        <w:rPr>
          <w:rFonts w:ascii="Times New Roman" w:hAnsi="Times New Roman" w:cs="Times New Roman"/>
          <w:sz w:val="28"/>
          <w:szCs w:val="28"/>
        </w:rPr>
        <w:t xml:space="preserve"> судебных актов</w:t>
      </w:r>
      <w:r w:rsidR="006A5A34">
        <w:rPr>
          <w:rFonts w:ascii="Times New Roman" w:hAnsi="Times New Roman" w:cs="Times New Roman"/>
          <w:sz w:val="28"/>
          <w:szCs w:val="28"/>
        </w:rPr>
        <w:t>,</w:t>
      </w:r>
    </w:p>
    <w:p w:rsidR="009957E0" w:rsidRPr="009957E0" w:rsidRDefault="009957E0" w:rsidP="00995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E0">
        <w:rPr>
          <w:rFonts w:ascii="Times New Roman" w:hAnsi="Times New Roman" w:cs="Times New Roman"/>
          <w:sz w:val="28"/>
          <w:szCs w:val="28"/>
        </w:rPr>
        <w:t xml:space="preserve">- </w:t>
      </w:r>
      <w:r w:rsidR="000B22B6" w:rsidRPr="009957E0">
        <w:rPr>
          <w:rFonts w:ascii="Times New Roman" w:hAnsi="Times New Roman" w:cs="Times New Roman"/>
          <w:sz w:val="28"/>
          <w:szCs w:val="28"/>
        </w:rPr>
        <w:t>ведени</w:t>
      </w:r>
      <w:r w:rsidR="006A5A34">
        <w:rPr>
          <w:rFonts w:ascii="Times New Roman" w:hAnsi="Times New Roman" w:cs="Times New Roman"/>
          <w:sz w:val="28"/>
          <w:szCs w:val="28"/>
        </w:rPr>
        <w:t>я</w:t>
      </w:r>
      <w:r w:rsidR="000B22B6" w:rsidRPr="009957E0">
        <w:rPr>
          <w:rFonts w:ascii="Times New Roman" w:hAnsi="Times New Roman" w:cs="Times New Roman"/>
          <w:sz w:val="28"/>
          <w:szCs w:val="28"/>
        </w:rPr>
        <w:t xml:space="preserve"> учета и составлени</w:t>
      </w:r>
      <w:r w:rsidR="006A5A34">
        <w:rPr>
          <w:rFonts w:ascii="Times New Roman" w:hAnsi="Times New Roman" w:cs="Times New Roman"/>
          <w:sz w:val="28"/>
          <w:szCs w:val="28"/>
        </w:rPr>
        <w:t>я</w:t>
      </w:r>
      <w:r w:rsidR="000B22B6" w:rsidRPr="009957E0">
        <w:rPr>
          <w:rFonts w:ascii="Times New Roman" w:hAnsi="Times New Roman" w:cs="Times New Roman"/>
          <w:sz w:val="28"/>
          <w:szCs w:val="28"/>
        </w:rPr>
        <w:t xml:space="preserve"> бюджетной отчетности, </w:t>
      </w:r>
    </w:p>
    <w:p w:rsidR="009957E0" w:rsidRPr="009957E0" w:rsidRDefault="009957E0" w:rsidP="00995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E0">
        <w:rPr>
          <w:rFonts w:ascii="Times New Roman" w:hAnsi="Times New Roman" w:cs="Times New Roman"/>
          <w:sz w:val="28"/>
          <w:szCs w:val="28"/>
        </w:rPr>
        <w:t>- организации и осуществлени</w:t>
      </w:r>
      <w:r w:rsidR="006A5A34">
        <w:rPr>
          <w:rFonts w:ascii="Times New Roman" w:hAnsi="Times New Roman" w:cs="Times New Roman"/>
          <w:sz w:val="28"/>
          <w:szCs w:val="28"/>
        </w:rPr>
        <w:t>я</w:t>
      </w:r>
      <w:r w:rsidRPr="009957E0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аудита,</w:t>
      </w:r>
    </w:p>
    <w:p w:rsidR="000B22B6" w:rsidRPr="009957E0" w:rsidRDefault="009957E0" w:rsidP="00995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E0">
        <w:rPr>
          <w:rFonts w:ascii="Times New Roman" w:hAnsi="Times New Roman" w:cs="Times New Roman"/>
          <w:sz w:val="28"/>
          <w:szCs w:val="28"/>
        </w:rPr>
        <w:t xml:space="preserve">- </w:t>
      </w:r>
      <w:r w:rsidR="000B22B6" w:rsidRPr="009957E0">
        <w:rPr>
          <w:rFonts w:ascii="Times New Roman" w:hAnsi="Times New Roman" w:cs="Times New Roman"/>
          <w:sz w:val="28"/>
          <w:szCs w:val="28"/>
        </w:rPr>
        <w:t>управлени</w:t>
      </w:r>
      <w:r w:rsidR="006A5A34">
        <w:rPr>
          <w:rFonts w:ascii="Times New Roman" w:hAnsi="Times New Roman" w:cs="Times New Roman"/>
          <w:sz w:val="28"/>
          <w:szCs w:val="28"/>
        </w:rPr>
        <w:t>я</w:t>
      </w:r>
      <w:r w:rsidR="000B22B6" w:rsidRPr="009957E0">
        <w:rPr>
          <w:rFonts w:ascii="Times New Roman" w:hAnsi="Times New Roman" w:cs="Times New Roman"/>
          <w:sz w:val="28"/>
          <w:szCs w:val="28"/>
        </w:rPr>
        <w:t xml:space="preserve"> активами.</w:t>
      </w:r>
    </w:p>
    <w:p w:rsidR="000B22B6" w:rsidRPr="009957E0" w:rsidRDefault="000B22B6" w:rsidP="000B22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E0">
        <w:rPr>
          <w:rFonts w:ascii="Times New Roman" w:hAnsi="Times New Roman" w:cs="Times New Roman"/>
          <w:sz w:val="28"/>
          <w:szCs w:val="28"/>
        </w:rPr>
        <w:t xml:space="preserve">Мониторинг проводился по 10 главным администраторам </w:t>
      </w:r>
      <w:r w:rsidR="00596A3F">
        <w:rPr>
          <w:rFonts w:ascii="Times New Roman" w:hAnsi="Times New Roman" w:cs="Times New Roman"/>
          <w:sz w:val="28"/>
          <w:szCs w:val="28"/>
        </w:rPr>
        <w:t>средств городского бюджета</w:t>
      </w:r>
      <w:r w:rsidR="00596A3F" w:rsidRPr="009957E0">
        <w:rPr>
          <w:rFonts w:ascii="Times New Roman" w:hAnsi="Times New Roman" w:cs="Times New Roman"/>
          <w:sz w:val="28"/>
          <w:szCs w:val="28"/>
        </w:rPr>
        <w:t xml:space="preserve"> </w:t>
      </w:r>
      <w:r w:rsidRPr="009957E0">
        <w:rPr>
          <w:rFonts w:ascii="Times New Roman" w:hAnsi="Times New Roman" w:cs="Times New Roman"/>
          <w:sz w:val="28"/>
          <w:szCs w:val="28"/>
        </w:rPr>
        <w:t xml:space="preserve">(как получателям бюджетных средств, то есть без учета сведений о подведомственных главному администратору получателях </w:t>
      </w:r>
      <w:r w:rsidRPr="009957E0">
        <w:rPr>
          <w:rFonts w:ascii="Times New Roman" w:hAnsi="Times New Roman" w:cs="Times New Roman"/>
          <w:sz w:val="28"/>
          <w:szCs w:val="28"/>
        </w:rPr>
        <w:lastRenderedPageBreak/>
        <w:t>бюджетных средств), указанным в ведомственной структуре расходов</w:t>
      </w:r>
      <w:r w:rsidR="00596A3F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9957E0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0B22B6" w:rsidRPr="001120FC" w:rsidRDefault="000B22B6" w:rsidP="001120F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57E0">
        <w:rPr>
          <w:rFonts w:ascii="Times New Roman" w:hAnsi="Times New Roman" w:cs="Times New Roman"/>
          <w:sz w:val="28"/>
          <w:szCs w:val="28"/>
        </w:rPr>
        <w:t xml:space="preserve">В целях расчета показателей качества финансового менеджмента при проведении мониторинга </w:t>
      </w:r>
      <w:r w:rsidR="003912E2" w:rsidRPr="009957E0">
        <w:rPr>
          <w:rFonts w:ascii="Times New Roman" w:hAnsi="Times New Roman" w:cs="Times New Roman"/>
          <w:sz w:val="28"/>
          <w:szCs w:val="28"/>
        </w:rPr>
        <w:t>за 202</w:t>
      </w:r>
      <w:r w:rsidR="009957E0" w:rsidRPr="009957E0">
        <w:rPr>
          <w:rFonts w:ascii="Times New Roman" w:hAnsi="Times New Roman" w:cs="Times New Roman"/>
          <w:sz w:val="28"/>
          <w:szCs w:val="28"/>
        </w:rPr>
        <w:t>1</w:t>
      </w:r>
      <w:r w:rsidR="003912E2" w:rsidRPr="009957E0">
        <w:rPr>
          <w:rFonts w:ascii="Times New Roman" w:hAnsi="Times New Roman" w:cs="Times New Roman"/>
          <w:sz w:val="28"/>
          <w:szCs w:val="28"/>
        </w:rPr>
        <w:t xml:space="preserve"> год </w:t>
      </w:r>
      <w:r w:rsidR="004A3883" w:rsidRPr="009957E0">
        <w:rPr>
          <w:rFonts w:ascii="Times New Roman" w:hAnsi="Times New Roman" w:cs="Times New Roman"/>
          <w:sz w:val="28"/>
          <w:szCs w:val="28"/>
        </w:rPr>
        <w:t>финансовым управлением использовались сведения</w:t>
      </w:r>
      <w:r w:rsidRPr="009957E0">
        <w:rPr>
          <w:rFonts w:ascii="Times New Roman" w:hAnsi="Times New Roman" w:cs="Times New Roman"/>
          <w:sz w:val="28"/>
          <w:szCs w:val="28"/>
        </w:rPr>
        <w:t xml:space="preserve">, представленные </w:t>
      </w:r>
      <w:r w:rsidR="000F7D61" w:rsidRPr="009957E0">
        <w:rPr>
          <w:rFonts w:ascii="Times New Roman" w:hAnsi="Times New Roman" w:cs="Times New Roman"/>
          <w:sz w:val="28"/>
          <w:szCs w:val="28"/>
        </w:rPr>
        <w:t>главными администраторами</w:t>
      </w:r>
      <w:r w:rsidR="000F7D61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0F7D61" w:rsidRPr="001120FC">
        <w:rPr>
          <w:rFonts w:ascii="Times New Roman" w:hAnsi="Times New Roman" w:cs="Times New Roman"/>
          <w:bCs/>
          <w:sz w:val="28"/>
          <w:szCs w:val="28"/>
        </w:rPr>
        <w:t>городского бюджета</w:t>
      </w:r>
      <w:r w:rsidR="000F7D61" w:rsidRPr="009957E0">
        <w:rPr>
          <w:rFonts w:ascii="Times New Roman" w:hAnsi="Times New Roman" w:cs="Times New Roman"/>
          <w:sz w:val="28"/>
          <w:szCs w:val="28"/>
        </w:rPr>
        <w:t xml:space="preserve"> </w:t>
      </w:r>
      <w:r w:rsidRPr="009957E0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4A3883" w:rsidRPr="009957E0">
        <w:rPr>
          <w:rFonts w:ascii="Times New Roman" w:hAnsi="Times New Roman" w:cs="Times New Roman"/>
          <w:sz w:val="28"/>
          <w:szCs w:val="28"/>
        </w:rPr>
        <w:t>7</w:t>
      </w:r>
      <w:r w:rsidRPr="009957E0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4A3883" w:rsidRPr="009957E0">
        <w:rPr>
          <w:rFonts w:ascii="Times New Roman" w:hAnsi="Times New Roman" w:cs="Times New Roman"/>
          <w:sz w:val="28"/>
          <w:szCs w:val="28"/>
        </w:rPr>
        <w:t xml:space="preserve">, данные отчета об исполнении городского бюджета, </w:t>
      </w:r>
      <w:r w:rsidR="000F7D61">
        <w:rPr>
          <w:rFonts w:ascii="Times New Roman" w:hAnsi="Times New Roman" w:cs="Times New Roman"/>
          <w:sz w:val="28"/>
          <w:szCs w:val="28"/>
        </w:rPr>
        <w:t xml:space="preserve">данные бюджетной отчетности </w:t>
      </w:r>
      <w:r w:rsidR="000F7D61">
        <w:rPr>
          <w:rFonts w:ascii="Times New Roman" w:hAnsi="Times New Roman" w:cs="Times New Roman"/>
          <w:bCs/>
          <w:sz w:val="28"/>
          <w:szCs w:val="28"/>
        </w:rPr>
        <w:t>за отчетный год</w:t>
      </w:r>
      <w:r w:rsidRPr="001120FC">
        <w:rPr>
          <w:rFonts w:ascii="Times New Roman" w:hAnsi="Times New Roman" w:cs="Times New Roman"/>
          <w:bCs/>
          <w:sz w:val="28"/>
          <w:szCs w:val="28"/>
        </w:rPr>
        <w:t>.</w:t>
      </w:r>
    </w:p>
    <w:p w:rsidR="000B22B6" w:rsidRPr="001120FC" w:rsidRDefault="000B22B6" w:rsidP="001120F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0FC">
        <w:rPr>
          <w:rFonts w:ascii="Times New Roman" w:hAnsi="Times New Roman" w:cs="Times New Roman"/>
          <w:bCs/>
          <w:sz w:val="28"/>
          <w:szCs w:val="28"/>
        </w:rPr>
        <w:t>Отчет о результатах мониторинга содержит следующие сведения:</w:t>
      </w:r>
    </w:p>
    <w:p w:rsidR="00E96D33" w:rsidRPr="001120FC" w:rsidRDefault="00E96D33" w:rsidP="001120F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0FC">
        <w:rPr>
          <w:rFonts w:ascii="Times New Roman" w:hAnsi="Times New Roman" w:cs="Times New Roman"/>
          <w:bCs/>
          <w:sz w:val="28"/>
          <w:szCs w:val="28"/>
        </w:rPr>
        <w:t xml:space="preserve">а) значения итоговых </w:t>
      </w:r>
      <w:proofErr w:type="gramStart"/>
      <w:r w:rsidRPr="001120FC">
        <w:rPr>
          <w:rFonts w:ascii="Times New Roman" w:hAnsi="Times New Roman" w:cs="Times New Roman"/>
          <w:bCs/>
          <w:sz w:val="28"/>
          <w:szCs w:val="28"/>
        </w:rPr>
        <w:t>оценок качества финансового менеджмента главных администраторов средств городского бюджета</w:t>
      </w:r>
      <w:proofErr w:type="gramEnd"/>
      <w:r w:rsidRPr="001120FC">
        <w:rPr>
          <w:rFonts w:ascii="Times New Roman" w:hAnsi="Times New Roman" w:cs="Times New Roman"/>
          <w:bCs/>
          <w:sz w:val="28"/>
          <w:szCs w:val="28"/>
        </w:rPr>
        <w:t xml:space="preserve"> и всех показателей, используемых для их расчета;</w:t>
      </w:r>
    </w:p>
    <w:p w:rsidR="00E96D33" w:rsidRPr="001120FC" w:rsidRDefault="00E96D33" w:rsidP="001120F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0FC">
        <w:rPr>
          <w:rFonts w:ascii="Times New Roman" w:hAnsi="Times New Roman" w:cs="Times New Roman"/>
          <w:bCs/>
          <w:sz w:val="28"/>
          <w:szCs w:val="28"/>
        </w:rPr>
        <w:t>б) целевые значения показателей качества финансового менеджмента;</w:t>
      </w:r>
    </w:p>
    <w:p w:rsidR="004A3883" w:rsidRPr="001120FC" w:rsidRDefault="00E96D33" w:rsidP="001120F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0FC">
        <w:rPr>
          <w:rFonts w:ascii="Times New Roman" w:hAnsi="Times New Roman" w:cs="Times New Roman"/>
          <w:bCs/>
          <w:sz w:val="28"/>
          <w:szCs w:val="28"/>
        </w:rPr>
        <w:t>в) рейтинг качества финансового менеджмента главных администраторов средств городского бюджета, сформированный по четырем группам: высокое, хорошее, удовлетворительное и неудовлетворительное качество финансового менеджмента;</w:t>
      </w:r>
    </w:p>
    <w:p w:rsidR="004A3883" w:rsidRPr="001120FC" w:rsidRDefault="00E96D33" w:rsidP="001120F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0FC">
        <w:rPr>
          <w:rFonts w:ascii="Times New Roman" w:hAnsi="Times New Roman" w:cs="Times New Roman"/>
          <w:bCs/>
          <w:sz w:val="28"/>
          <w:szCs w:val="28"/>
        </w:rPr>
        <w:t>г</w:t>
      </w:r>
      <w:r w:rsidR="004A3883" w:rsidRPr="001120FC">
        <w:rPr>
          <w:rFonts w:ascii="Times New Roman" w:hAnsi="Times New Roman" w:cs="Times New Roman"/>
          <w:bCs/>
          <w:sz w:val="28"/>
          <w:szCs w:val="28"/>
        </w:rPr>
        <w:t>) настоящая пояснительная записка.</w:t>
      </w:r>
    </w:p>
    <w:p w:rsidR="000B22B6" w:rsidRPr="001120FC" w:rsidRDefault="000B22B6" w:rsidP="001120F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0FC">
        <w:rPr>
          <w:rFonts w:ascii="Times New Roman" w:hAnsi="Times New Roman" w:cs="Times New Roman"/>
          <w:bCs/>
          <w:sz w:val="28"/>
          <w:szCs w:val="28"/>
        </w:rPr>
        <w:t xml:space="preserve">Итоговая оценка </w:t>
      </w:r>
      <w:proofErr w:type="gramStart"/>
      <w:r w:rsidRPr="001120FC">
        <w:rPr>
          <w:rFonts w:ascii="Times New Roman" w:hAnsi="Times New Roman" w:cs="Times New Roman"/>
          <w:bCs/>
          <w:sz w:val="28"/>
          <w:szCs w:val="28"/>
        </w:rPr>
        <w:t>качества финансового менеджмента главн</w:t>
      </w:r>
      <w:r w:rsidR="004A3883" w:rsidRPr="001120FC">
        <w:rPr>
          <w:rFonts w:ascii="Times New Roman" w:hAnsi="Times New Roman" w:cs="Times New Roman"/>
          <w:bCs/>
          <w:sz w:val="28"/>
          <w:szCs w:val="28"/>
        </w:rPr>
        <w:t xml:space="preserve">ых </w:t>
      </w:r>
      <w:r w:rsidRPr="001120FC">
        <w:rPr>
          <w:rFonts w:ascii="Times New Roman" w:hAnsi="Times New Roman" w:cs="Times New Roman"/>
          <w:bCs/>
          <w:sz w:val="28"/>
          <w:szCs w:val="28"/>
        </w:rPr>
        <w:t>администратор</w:t>
      </w:r>
      <w:r w:rsidR="004A3883" w:rsidRPr="001120FC">
        <w:rPr>
          <w:rFonts w:ascii="Times New Roman" w:hAnsi="Times New Roman" w:cs="Times New Roman"/>
          <w:bCs/>
          <w:sz w:val="28"/>
          <w:szCs w:val="28"/>
        </w:rPr>
        <w:t>ов</w:t>
      </w:r>
      <w:r w:rsidRPr="001120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6A3F" w:rsidRPr="001120FC">
        <w:rPr>
          <w:rFonts w:ascii="Times New Roman" w:hAnsi="Times New Roman" w:cs="Times New Roman"/>
          <w:bCs/>
          <w:sz w:val="28"/>
          <w:szCs w:val="28"/>
        </w:rPr>
        <w:t>средств городского бюджета</w:t>
      </w:r>
      <w:proofErr w:type="gramEnd"/>
      <w:r w:rsidR="00596A3F" w:rsidRPr="001120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20FC">
        <w:rPr>
          <w:rFonts w:ascii="Times New Roman" w:hAnsi="Times New Roman" w:cs="Times New Roman"/>
          <w:bCs/>
          <w:sz w:val="28"/>
          <w:szCs w:val="28"/>
        </w:rPr>
        <w:t xml:space="preserve">рассчитывалась по </w:t>
      </w:r>
      <w:r w:rsidR="000F7D61">
        <w:rPr>
          <w:rFonts w:ascii="Times New Roman" w:hAnsi="Times New Roman" w:cs="Times New Roman"/>
          <w:bCs/>
          <w:sz w:val="28"/>
          <w:szCs w:val="28"/>
        </w:rPr>
        <w:t>шести</w:t>
      </w:r>
      <w:r w:rsidRPr="001120FC">
        <w:rPr>
          <w:rFonts w:ascii="Times New Roman" w:hAnsi="Times New Roman" w:cs="Times New Roman"/>
          <w:bCs/>
          <w:sz w:val="28"/>
          <w:szCs w:val="28"/>
        </w:rPr>
        <w:t xml:space="preserve"> направлениям показателей качества финансового менеджмента:</w:t>
      </w:r>
    </w:p>
    <w:p w:rsidR="000B22B6" w:rsidRPr="001120FC" w:rsidRDefault="000B22B6" w:rsidP="001120F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0FC">
        <w:rPr>
          <w:rFonts w:ascii="Times New Roman" w:hAnsi="Times New Roman" w:cs="Times New Roman"/>
          <w:bCs/>
          <w:sz w:val="28"/>
          <w:szCs w:val="28"/>
        </w:rPr>
        <w:t>1) качество управления расходами бюджета (вес 0,</w:t>
      </w:r>
      <w:r w:rsidR="009957E0" w:rsidRPr="001120FC">
        <w:rPr>
          <w:rFonts w:ascii="Times New Roman" w:hAnsi="Times New Roman" w:cs="Times New Roman"/>
          <w:bCs/>
          <w:sz w:val="28"/>
          <w:szCs w:val="28"/>
        </w:rPr>
        <w:t>3</w:t>
      </w:r>
      <w:r w:rsidRPr="001120FC">
        <w:rPr>
          <w:rFonts w:ascii="Times New Roman" w:hAnsi="Times New Roman" w:cs="Times New Roman"/>
          <w:bCs/>
          <w:sz w:val="28"/>
          <w:szCs w:val="28"/>
        </w:rPr>
        <w:t>);</w:t>
      </w:r>
    </w:p>
    <w:p w:rsidR="009957E0" w:rsidRPr="001120FC" w:rsidRDefault="009957E0" w:rsidP="001120F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0FC">
        <w:rPr>
          <w:rFonts w:ascii="Times New Roman" w:hAnsi="Times New Roman" w:cs="Times New Roman"/>
          <w:bCs/>
          <w:sz w:val="28"/>
          <w:szCs w:val="28"/>
        </w:rPr>
        <w:t>2) качество исполнение судебных актов (вес 0,1)</w:t>
      </w:r>
    </w:p>
    <w:p w:rsidR="000B22B6" w:rsidRPr="001120FC" w:rsidRDefault="009957E0" w:rsidP="001120F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0FC">
        <w:rPr>
          <w:rFonts w:ascii="Times New Roman" w:hAnsi="Times New Roman" w:cs="Times New Roman"/>
          <w:bCs/>
          <w:sz w:val="28"/>
          <w:szCs w:val="28"/>
        </w:rPr>
        <w:t>3</w:t>
      </w:r>
      <w:r w:rsidR="000B22B6" w:rsidRPr="001120FC">
        <w:rPr>
          <w:rFonts w:ascii="Times New Roman" w:hAnsi="Times New Roman" w:cs="Times New Roman"/>
          <w:bCs/>
          <w:sz w:val="28"/>
          <w:szCs w:val="28"/>
        </w:rPr>
        <w:t>) качество управления доходами бюджета (вес 0,</w:t>
      </w:r>
      <w:r w:rsidRPr="001120FC">
        <w:rPr>
          <w:rFonts w:ascii="Times New Roman" w:hAnsi="Times New Roman" w:cs="Times New Roman"/>
          <w:bCs/>
          <w:sz w:val="28"/>
          <w:szCs w:val="28"/>
        </w:rPr>
        <w:t>3</w:t>
      </w:r>
      <w:r w:rsidR="000B22B6" w:rsidRPr="001120FC">
        <w:rPr>
          <w:rFonts w:ascii="Times New Roman" w:hAnsi="Times New Roman" w:cs="Times New Roman"/>
          <w:bCs/>
          <w:sz w:val="28"/>
          <w:szCs w:val="28"/>
        </w:rPr>
        <w:t>);</w:t>
      </w:r>
    </w:p>
    <w:p w:rsidR="000B22B6" w:rsidRPr="001120FC" w:rsidRDefault="009957E0" w:rsidP="001120F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0FC">
        <w:rPr>
          <w:rFonts w:ascii="Times New Roman" w:hAnsi="Times New Roman" w:cs="Times New Roman"/>
          <w:bCs/>
          <w:sz w:val="28"/>
          <w:szCs w:val="28"/>
        </w:rPr>
        <w:t>4</w:t>
      </w:r>
      <w:r w:rsidR="000B22B6" w:rsidRPr="001120FC">
        <w:rPr>
          <w:rFonts w:ascii="Times New Roman" w:hAnsi="Times New Roman" w:cs="Times New Roman"/>
          <w:bCs/>
          <w:sz w:val="28"/>
          <w:szCs w:val="28"/>
        </w:rPr>
        <w:t>) качество ведения учета и составления бюджетной отчетности (вес 0,</w:t>
      </w:r>
      <w:r w:rsidRPr="001120FC">
        <w:rPr>
          <w:rFonts w:ascii="Times New Roman" w:hAnsi="Times New Roman" w:cs="Times New Roman"/>
          <w:bCs/>
          <w:sz w:val="28"/>
          <w:szCs w:val="28"/>
        </w:rPr>
        <w:t>1</w:t>
      </w:r>
      <w:r w:rsidR="000B22B6" w:rsidRPr="001120FC">
        <w:rPr>
          <w:rFonts w:ascii="Times New Roman" w:hAnsi="Times New Roman" w:cs="Times New Roman"/>
          <w:bCs/>
          <w:sz w:val="28"/>
          <w:szCs w:val="28"/>
        </w:rPr>
        <w:t>);</w:t>
      </w:r>
    </w:p>
    <w:p w:rsidR="009957E0" w:rsidRPr="001120FC" w:rsidRDefault="009957E0" w:rsidP="001120F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0FC">
        <w:rPr>
          <w:rFonts w:ascii="Times New Roman" w:hAnsi="Times New Roman" w:cs="Times New Roman"/>
          <w:bCs/>
          <w:sz w:val="28"/>
          <w:szCs w:val="28"/>
        </w:rPr>
        <w:t>5) качество организации и осуществления внутреннего финансового аудита (вес 0,1);</w:t>
      </w:r>
    </w:p>
    <w:p w:rsidR="000B22B6" w:rsidRPr="001120FC" w:rsidRDefault="009957E0" w:rsidP="001120F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0FC">
        <w:rPr>
          <w:rFonts w:ascii="Times New Roman" w:hAnsi="Times New Roman" w:cs="Times New Roman"/>
          <w:bCs/>
          <w:sz w:val="28"/>
          <w:szCs w:val="28"/>
        </w:rPr>
        <w:t>6</w:t>
      </w:r>
      <w:r w:rsidR="000B22B6" w:rsidRPr="001120FC">
        <w:rPr>
          <w:rFonts w:ascii="Times New Roman" w:hAnsi="Times New Roman" w:cs="Times New Roman"/>
          <w:bCs/>
          <w:sz w:val="28"/>
          <w:szCs w:val="28"/>
        </w:rPr>
        <w:t>) качество управления активами (вес 0,1).</w:t>
      </w:r>
    </w:p>
    <w:p w:rsidR="00E96D33" w:rsidRPr="00857436" w:rsidRDefault="00E96D33" w:rsidP="00E96D3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814">
        <w:rPr>
          <w:rFonts w:ascii="Times New Roman" w:hAnsi="Times New Roman" w:cs="Times New Roman"/>
          <w:bCs/>
          <w:sz w:val="28"/>
          <w:szCs w:val="28"/>
        </w:rPr>
        <w:t xml:space="preserve">Значения </w:t>
      </w:r>
      <w:proofErr w:type="gramStart"/>
      <w:r w:rsidRPr="00E74814">
        <w:rPr>
          <w:rFonts w:ascii="Times New Roman" w:hAnsi="Times New Roman" w:cs="Times New Roman"/>
          <w:bCs/>
          <w:sz w:val="28"/>
          <w:szCs w:val="28"/>
        </w:rPr>
        <w:t>показателей качества финансового менеджмента главн</w:t>
      </w:r>
      <w:r w:rsidR="00596A3F">
        <w:rPr>
          <w:rFonts w:ascii="Times New Roman" w:hAnsi="Times New Roman" w:cs="Times New Roman"/>
          <w:bCs/>
          <w:sz w:val="28"/>
          <w:szCs w:val="28"/>
        </w:rPr>
        <w:t xml:space="preserve">ых </w:t>
      </w:r>
      <w:r w:rsidRPr="00E74814">
        <w:rPr>
          <w:rFonts w:ascii="Times New Roman" w:hAnsi="Times New Roman" w:cs="Times New Roman"/>
          <w:bCs/>
          <w:sz w:val="28"/>
          <w:szCs w:val="28"/>
        </w:rPr>
        <w:t>администратор</w:t>
      </w:r>
      <w:r w:rsidR="00596A3F">
        <w:rPr>
          <w:rFonts w:ascii="Times New Roman" w:hAnsi="Times New Roman" w:cs="Times New Roman"/>
          <w:bCs/>
          <w:sz w:val="28"/>
          <w:szCs w:val="28"/>
        </w:rPr>
        <w:t>ов</w:t>
      </w:r>
      <w:r w:rsidRPr="00E7481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средств городского бюджета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 каждому направлению </w:t>
      </w:r>
      <w:r w:rsidRPr="00E74814">
        <w:rPr>
          <w:rFonts w:ascii="Times New Roman" w:hAnsi="Times New Roman" w:cs="Times New Roman"/>
          <w:bCs/>
          <w:sz w:val="28"/>
          <w:szCs w:val="28"/>
        </w:rPr>
        <w:t>рассчитыва</w:t>
      </w:r>
      <w:r w:rsidR="00596A3F">
        <w:rPr>
          <w:rFonts w:ascii="Times New Roman" w:hAnsi="Times New Roman" w:cs="Times New Roman"/>
          <w:bCs/>
          <w:sz w:val="28"/>
          <w:szCs w:val="28"/>
        </w:rPr>
        <w:t>лись</w:t>
      </w:r>
      <w:r w:rsidR="00857436">
        <w:rPr>
          <w:rFonts w:ascii="Times New Roman" w:hAnsi="Times New Roman" w:cs="Times New Roman"/>
          <w:bCs/>
          <w:sz w:val="28"/>
          <w:szCs w:val="28"/>
        </w:rPr>
        <w:t xml:space="preserve"> с учетом следующих положений:</w:t>
      </w:r>
    </w:p>
    <w:p w:rsidR="001120FC" w:rsidRDefault="001120FC" w:rsidP="001120F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0FC">
        <w:rPr>
          <w:rFonts w:ascii="Times New Roman" w:hAnsi="Times New Roman" w:cs="Times New Roman"/>
          <w:bCs/>
          <w:sz w:val="28"/>
          <w:szCs w:val="28"/>
        </w:rPr>
        <w:t xml:space="preserve">1) </w:t>
      </w:r>
      <w:r>
        <w:rPr>
          <w:rFonts w:ascii="Times New Roman" w:hAnsi="Times New Roman" w:cs="Times New Roman"/>
          <w:bCs/>
          <w:sz w:val="28"/>
          <w:szCs w:val="28"/>
        </w:rPr>
        <w:t>ц</w:t>
      </w:r>
      <w:r w:rsidRPr="009957E0">
        <w:rPr>
          <w:rFonts w:ascii="Times New Roman" w:hAnsi="Times New Roman" w:cs="Times New Roman"/>
          <w:bCs/>
          <w:sz w:val="28"/>
          <w:szCs w:val="28"/>
        </w:rPr>
        <w:t>елев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957E0">
        <w:rPr>
          <w:rFonts w:ascii="Times New Roman" w:hAnsi="Times New Roman" w:cs="Times New Roman"/>
          <w:bCs/>
          <w:sz w:val="28"/>
          <w:szCs w:val="28"/>
        </w:rPr>
        <w:t>е значени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9957E0">
        <w:rPr>
          <w:rFonts w:ascii="Times New Roman" w:hAnsi="Times New Roman" w:cs="Times New Roman"/>
          <w:bCs/>
          <w:sz w:val="28"/>
          <w:szCs w:val="28"/>
        </w:rPr>
        <w:t xml:space="preserve"> показателей качества финансового менеджмента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разрезе </w:t>
      </w:r>
      <w:r w:rsidRPr="009957E0">
        <w:rPr>
          <w:rFonts w:ascii="Times New Roman" w:hAnsi="Times New Roman" w:cs="Times New Roman"/>
          <w:bCs/>
          <w:sz w:val="28"/>
          <w:szCs w:val="28"/>
        </w:rPr>
        <w:t>главн</w:t>
      </w:r>
      <w:r>
        <w:rPr>
          <w:rFonts w:ascii="Times New Roman" w:hAnsi="Times New Roman" w:cs="Times New Roman"/>
          <w:bCs/>
          <w:sz w:val="28"/>
          <w:szCs w:val="28"/>
        </w:rPr>
        <w:t>ых</w:t>
      </w:r>
      <w:r w:rsidRPr="009957E0">
        <w:rPr>
          <w:rFonts w:ascii="Times New Roman" w:hAnsi="Times New Roman" w:cs="Times New Roman"/>
          <w:bCs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9957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20FC">
        <w:rPr>
          <w:rFonts w:ascii="Times New Roman" w:hAnsi="Times New Roman" w:cs="Times New Roman"/>
          <w:bCs/>
          <w:sz w:val="28"/>
          <w:szCs w:val="28"/>
        </w:rPr>
        <w:t>средств городского бюджета</w:t>
      </w:r>
      <w:r w:rsidRPr="009957E0">
        <w:rPr>
          <w:rFonts w:ascii="Times New Roman" w:hAnsi="Times New Roman" w:cs="Times New Roman"/>
          <w:bCs/>
          <w:sz w:val="28"/>
          <w:szCs w:val="28"/>
        </w:rPr>
        <w:t xml:space="preserve"> по каждому направлению принимались </w:t>
      </w:r>
      <w:proofErr w:type="gramStart"/>
      <w:r w:rsidRPr="009957E0">
        <w:rPr>
          <w:rFonts w:ascii="Times New Roman" w:hAnsi="Times New Roman" w:cs="Times New Roman"/>
          <w:bCs/>
          <w:sz w:val="28"/>
          <w:szCs w:val="28"/>
        </w:rPr>
        <w:t>равным</w:t>
      </w:r>
      <w:proofErr w:type="gramEnd"/>
      <w:r w:rsidRPr="009957E0">
        <w:rPr>
          <w:rFonts w:ascii="Times New Roman" w:hAnsi="Times New Roman" w:cs="Times New Roman"/>
          <w:bCs/>
          <w:sz w:val="28"/>
          <w:szCs w:val="28"/>
        </w:rPr>
        <w:t xml:space="preserve"> 80</w:t>
      </w:r>
      <w:r>
        <w:rPr>
          <w:rFonts w:ascii="Times New Roman" w:hAnsi="Times New Roman" w:cs="Times New Roman"/>
          <w:bCs/>
          <w:sz w:val="28"/>
          <w:szCs w:val="28"/>
        </w:rPr>
        <w:t xml:space="preserve"> баллов</w:t>
      </w:r>
      <w:r w:rsidRPr="009957E0">
        <w:rPr>
          <w:rFonts w:ascii="Times New Roman" w:hAnsi="Times New Roman" w:cs="Times New Roman"/>
          <w:bCs/>
          <w:sz w:val="28"/>
          <w:szCs w:val="28"/>
        </w:rPr>
        <w:t>.</w:t>
      </w:r>
    </w:p>
    <w:p w:rsidR="00E96D33" w:rsidRDefault="001120FC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6D33">
        <w:rPr>
          <w:rFonts w:ascii="Times New Roman" w:hAnsi="Times New Roman" w:cs="Times New Roman"/>
          <w:sz w:val="28"/>
          <w:szCs w:val="28"/>
        </w:rPr>
        <w:t>) в</w:t>
      </w:r>
      <w:r w:rsidR="00E96D33" w:rsidRPr="00544BFC">
        <w:rPr>
          <w:rFonts w:ascii="Times New Roman" w:hAnsi="Times New Roman" w:cs="Times New Roman"/>
          <w:sz w:val="28"/>
          <w:szCs w:val="28"/>
        </w:rPr>
        <w:t xml:space="preserve"> случае отсутствия направления качества финансового менеджмента главного администратора, вес этого направления пропорционально перераспр</w:t>
      </w:r>
      <w:r w:rsidR="00E96D33">
        <w:rPr>
          <w:rFonts w:ascii="Times New Roman" w:hAnsi="Times New Roman" w:cs="Times New Roman"/>
          <w:sz w:val="28"/>
          <w:szCs w:val="28"/>
        </w:rPr>
        <w:t>едел</w:t>
      </w:r>
      <w:r w:rsidR="00857436">
        <w:rPr>
          <w:rFonts w:ascii="Times New Roman" w:hAnsi="Times New Roman" w:cs="Times New Roman"/>
          <w:sz w:val="28"/>
          <w:szCs w:val="28"/>
        </w:rPr>
        <w:t>ялся</w:t>
      </w:r>
      <w:r w:rsidR="00E96D33">
        <w:rPr>
          <w:rFonts w:ascii="Times New Roman" w:hAnsi="Times New Roman" w:cs="Times New Roman"/>
          <w:sz w:val="28"/>
          <w:szCs w:val="28"/>
        </w:rPr>
        <w:t xml:space="preserve"> на другие направления;</w:t>
      </w:r>
    </w:p>
    <w:p w:rsidR="00E96D33" w:rsidRDefault="001120FC" w:rsidP="0085743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6D33">
        <w:rPr>
          <w:rFonts w:ascii="Times New Roman" w:hAnsi="Times New Roman" w:cs="Times New Roman"/>
          <w:sz w:val="28"/>
          <w:szCs w:val="28"/>
        </w:rPr>
        <w:t xml:space="preserve">) максимальная оценка качества финансового менеджмента составляет 100 баллов и свидетельствует о </w:t>
      </w:r>
      <w:r w:rsidR="00857436">
        <w:rPr>
          <w:rFonts w:ascii="Times New Roman" w:hAnsi="Times New Roman" w:cs="Times New Roman"/>
          <w:sz w:val="28"/>
          <w:szCs w:val="28"/>
        </w:rPr>
        <w:t>наивысшем</w:t>
      </w:r>
      <w:r w:rsidR="00E96D33" w:rsidRPr="00E74814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857436">
        <w:rPr>
          <w:rFonts w:ascii="Times New Roman" w:hAnsi="Times New Roman" w:cs="Times New Roman"/>
          <w:bCs/>
          <w:sz w:val="28"/>
          <w:szCs w:val="28"/>
        </w:rPr>
        <w:t>ачестве финансового менеджмента</w:t>
      </w:r>
      <w:r w:rsidR="00E96D33" w:rsidRPr="00E96D33">
        <w:rPr>
          <w:rFonts w:ascii="Times New Roman" w:hAnsi="Times New Roman" w:cs="Times New Roman"/>
          <w:bCs/>
          <w:sz w:val="28"/>
          <w:szCs w:val="28"/>
        </w:rPr>
        <w:t>.</w:t>
      </w:r>
    </w:p>
    <w:p w:rsidR="00782489" w:rsidRDefault="00782489" w:rsidP="0085743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11F" w:rsidRDefault="003E411F" w:rsidP="0085743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Принятые сокращения:</w:t>
      </w:r>
    </w:p>
    <w:p w:rsidR="003E411F" w:rsidRDefault="003E411F" w:rsidP="0085743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СНД – Совет народных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ЗАТО г.</w:t>
      </w:r>
      <w:r w:rsidR="000F7D61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Радужный Владимирской области;</w:t>
      </w:r>
    </w:p>
    <w:p w:rsidR="003E411F" w:rsidRDefault="003E411F" w:rsidP="0085743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города –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администрация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ЗАТО г.</w:t>
      </w:r>
      <w:r w:rsidR="000F7D61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Радужный Владимирской области;</w:t>
      </w:r>
    </w:p>
    <w:p w:rsidR="003E411F" w:rsidRDefault="00782489" w:rsidP="003E411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МКУ «</w:t>
      </w:r>
      <w:r w:rsidR="003E411F">
        <w:rPr>
          <w:rFonts w:ascii="Times New Roman" w:hAnsi="Times New Roman" w:cs="Times New Roman"/>
          <w:bCs/>
          <w:sz w:val="28"/>
          <w:szCs w:val="28"/>
        </w:rPr>
        <w:t>УГОЧС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3E411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муниципальное казенное учреждение «</w:t>
      </w:r>
      <w:r w:rsidR="003E411F">
        <w:rPr>
          <w:rFonts w:ascii="Times New Roman" w:hAnsi="Times New Roman" w:cs="Times New Roman"/>
          <w:bCs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делам </w:t>
      </w:r>
      <w:r w:rsidR="003E411F">
        <w:rPr>
          <w:rFonts w:ascii="Times New Roman" w:hAnsi="Times New Roman" w:cs="Times New Roman"/>
          <w:bCs/>
          <w:sz w:val="28"/>
          <w:szCs w:val="28"/>
        </w:rPr>
        <w:t>гражданской оборон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3E411F">
        <w:rPr>
          <w:rFonts w:ascii="Times New Roman" w:hAnsi="Times New Roman" w:cs="Times New Roman"/>
          <w:bCs/>
          <w:sz w:val="28"/>
          <w:szCs w:val="28"/>
        </w:rPr>
        <w:t xml:space="preserve"> и чрезвычайным ситуациям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3E411F">
        <w:rPr>
          <w:rFonts w:ascii="Times New Roman" w:hAnsi="Times New Roman" w:cs="Times New Roman"/>
          <w:bCs/>
          <w:sz w:val="28"/>
          <w:szCs w:val="28"/>
        </w:rPr>
        <w:t xml:space="preserve"> ЗАТО г.</w:t>
      </w:r>
      <w:r w:rsidR="000F7D61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="003E411F">
        <w:rPr>
          <w:rFonts w:ascii="Times New Roman" w:hAnsi="Times New Roman" w:cs="Times New Roman"/>
          <w:bCs/>
          <w:sz w:val="28"/>
          <w:szCs w:val="28"/>
        </w:rPr>
        <w:t>Радужный</w:t>
      </w:r>
      <w:proofErr w:type="gramEnd"/>
      <w:r w:rsidR="003E411F">
        <w:rPr>
          <w:rFonts w:ascii="Times New Roman" w:hAnsi="Times New Roman" w:cs="Times New Roman"/>
          <w:bCs/>
          <w:sz w:val="28"/>
          <w:szCs w:val="28"/>
        </w:rPr>
        <w:t xml:space="preserve"> Владимирской области;</w:t>
      </w:r>
    </w:p>
    <w:p w:rsidR="003E411F" w:rsidRDefault="00782489" w:rsidP="003E411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МКУ «</w:t>
      </w:r>
      <w:r w:rsidR="003E411F">
        <w:rPr>
          <w:rFonts w:ascii="Times New Roman" w:hAnsi="Times New Roman" w:cs="Times New Roman"/>
          <w:bCs/>
          <w:sz w:val="28"/>
          <w:szCs w:val="28"/>
        </w:rPr>
        <w:t>ГКМХ</w:t>
      </w:r>
      <w:r>
        <w:rPr>
          <w:rFonts w:ascii="Times New Roman" w:hAnsi="Times New Roman" w:cs="Times New Roman"/>
          <w:bCs/>
          <w:sz w:val="28"/>
          <w:szCs w:val="28"/>
        </w:rPr>
        <w:t>» – муниципальное казенное учреждение «Городской комитет м</w:t>
      </w:r>
      <w:r w:rsidR="000F7D61">
        <w:rPr>
          <w:rFonts w:ascii="Times New Roman" w:hAnsi="Times New Roman" w:cs="Times New Roman"/>
          <w:bCs/>
          <w:sz w:val="28"/>
          <w:szCs w:val="28"/>
        </w:rPr>
        <w:t xml:space="preserve">униципального </w:t>
      </w:r>
      <w:proofErr w:type="gramStart"/>
      <w:r w:rsidR="000F7D61">
        <w:rPr>
          <w:rFonts w:ascii="Times New Roman" w:hAnsi="Times New Roman" w:cs="Times New Roman"/>
          <w:bCs/>
          <w:sz w:val="28"/>
          <w:szCs w:val="28"/>
        </w:rPr>
        <w:t>хозяйства</w:t>
      </w:r>
      <w:proofErr w:type="gramEnd"/>
      <w:r w:rsidR="000F7D61">
        <w:rPr>
          <w:rFonts w:ascii="Times New Roman" w:hAnsi="Times New Roman" w:cs="Times New Roman"/>
          <w:bCs/>
          <w:sz w:val="28"/>
          <w:szCs w:val="28"/>
        </w:rPr>
        <w:t xml:space="preserve"> ЗАТО г. </w:t>
      </w:r>
      <w:r>
        <w:rPr>
          <w:rFonts w:ascii="Times New Roman" w:hAnsi="Times New Roman" w:cs="Times New Roman"/>
          <w:bCs/>
          <w:sz w:val="28"/>
          <w:szCs w:val="28"/>
        </w:rPr>
        <w:t>Радужный Владимирской области»;</w:t>
      </w:r>
    </w:p>
    <w:p w:rsidR="00782489" w:rsidRDefault="00782489" w:rsidP="003E411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МКУ «УАЗ» – муниципальное казенное учреждение «Управление адм</w:t>
      </w:r>
      <w:r w:rsidR="000F7D61">
        <w:rPr>
          <w:rFonts w:ascii="Times New Roman" w:hAnsi="Times New Roman" w:cs="Times New Roman"/>
          <w:bCs/>
          <w:sz w:val="28"/>
          <w:szCs w:val="28"/>
        </w:rPr>
        <w:t xml:space="preserve">инистративными </w:t>
      </w:r>
      <w:proofErr w:type="gramStart"/>
      <w:r w:rsidR="000F7D61">
        <w:rPr>
          <w:rFonts w:ascii="Times New Roman" w:hAnsi="Times New Roman" w:cs="Times New Roman"/>
          <w:bCs/>
          <w:sz w:val="28"/>
          <w:szCs w:val="28"/>
        </w:rPr>
        <w:t>зданиями</w:t>
      </w:r>
      <w:proofErr w:type="gramEnd"/>
      <w:r w:rsidR="000F7D61">
        <w:rPr>
          <w:rFonts w:ascii="Times New Roman" w:hAnsi="Times New Roman" w:cs="Times New Roman"/>
          <w:bCs/>
          <w:sz w:val="28"/>
          <w:szCs w:val="28"/>
        </w:rPr>
        <w:t xml:space="preserve"> ЗАТО г. </w:t>
      </w:r>
      <w:r>
        <w:rPr>
          <w:rFonts w:ascii="Times New Roman" w:hAnsi="Times New Roman" w:cs="Times New Roman"/>
          <w:bCs/>
          <w:sz w:val="28"/>
          <w:szCs w:val="28"/>
        </w:rPr>
        <w:t>Радужный Владимирской области»;</w:t>
      </w:r>
    </w:p>
    <w:p w:rsidR="00782489" w:rsidRDefault="00782489" w:rsidP="003E411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МКУ «Дорожник» – муниципальное казенное учреждение «Дорожник» ЗАТО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Радужный Владимирской области;</w:t>
      </w:r>
    </w:p>
    <w:p w:rsidR="00782489" w:rsidRDefault="00782489" w:rsidP="003E411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МКУ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ККиС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– муниципальное казенное учреждени</w:t>
      </w:r>
      <w:r w:rsidR="006810BE">
        <w:rPr>
          <w:rFonts w:ascii="Times New Roman" w:hAnsi="Times New Roman" w:cs="Times New Roman"/>
          <w:bCs/>
          <w:sz w:val="28"/>
          <w:szCs w:val="28"/>
        </w:rPr>
        <w:t xml:space="preserve">е «Комитет по культуре и </w:t>
      </w:r>
      <w:proofErr w:type="gramStart"/>
      <w:r w:rsidR="006810BE">
        <w:rPr>
          <w:rFonts w:ascii="Times New Roman" w:hAnsi="Times New Roman" w:cs="Times New Roman"/>
          <w:bCs/>
          <w:sz w:val="28"/>
          <w:szCs w:val="28"/>
        </w:rPr>
        <w:t>спорту</w:t>
      </w:r>
      <w:proofErr w:type="gramEnd"/>
      <w:r w:rsidR="000F7D61">
        <w:rPr>
          <w:rFonts w:ascii="Times New Roman" w:hAnsi="Times New Roman" w:cs="Times New Roman"/>
          <w:bCs/>
          <w:sz w:val="28"/>
          <w:szCs w:val="28"/>
        </w:rPr>
        <w:t xml:space="preserve"> ЗАТО г. </w:t>
      </w:r>
      <w:r>
        <w:rPr>
          <w:rFonts w:ascii="Times New Roman" w:hAnsi="Times New Roman" w:cs="Times New Roman"/>
          <w:bCs/>
          <w:sz w:val="28"/>
          <w:szCs w:val="28"/>
        </w:rPr>
        <w:t>Радужный Владимирской области</w:t>
      </w:r>
      <w:r w:rsidR="006810B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82489" w:rsidRDefault="00782489" w:rsidP="003E411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КУМИ – Комитет по управлению муниципальным имуществом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ЗАТО г.</w:t>
      </w:r>
      <w:r w:rsidR="000F7D61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Радужный Владимирской области;</w:t>
      </w:r>
    </w:p>
    <w:p w:rsidR="00782489" w:rsidRDefault="00C37160" w:rsidP="003E411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782489">
        <w:rPr>
          <w:rFonts w:ascii="Times New Roman" w:hAnsi="Times New Roman" w:cs="Times New Roman"/>
          <w:bCs/>
          <w:sz w:val="28"/>
          <w:szCs w:val="28"/>
        </w:rPr>
        <w:t>правление образования – управление об</w:t>
      </w:r>
      <w:r w:rsidR="000F7D61">
        <w:rPr>
          <w:rFonts w:ascii="Times New Roman" w:hAnsi="Times New Roman" w:cs="Times New Roman"/>
          <w:bCs/>
          <w:sz w:val="28"/>
          <w:szCs w:val="28"/>
        </w:rPr>
        <w:t xml:space="preserve">разования </w:t>
      </w:r>
      <w:proofErr w:type="gramStart"/>
      <w:r w:rsidR="000F7D61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proofErr w:type="gramEnd"/>
      <w:r w:rsidR="000F7D61">
        <w:rPr>
          <w:rFonts w:ascii="Times New Roman" w:hAnsi="Times New Roman" w:cs="Times New Roman"/>
          <w:bCs/>
          <w:sz w:val="28"/>
          <w:szCs w:val="28"/>
        </w:rPr>
        <w:t xml:space="preserve"> ЗАТО г. </w:t>
      </w:r>
      <w:r w:rsidR="00782489">
        <w:rPr>
          <w:rFonts w:ascii="Times New Roman" w:hAnsi="Times New Roman" w:cs="Times New Roman"/>
          <w:bCs/>
          <w:sz w:val="28"/>
          <w:szCs w:val="28"/>
        </w:rPr>
        <w:t>Радужный Владимирской области;</w:t>
      </w:r>
    </w:p>
    <w:p w:rsidR="00782489" w:rsidRDefault="00C37160" w:rsidP="003E411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="00782489">
        <w:rPr>
          <w:rFonts w:ascii="Times New Roman" w:hAnsi="Times New Roman" w:cs="Times New Roman"/>
          <w:bCs/>
          <w:sz w:val="28"/>
          <w:szCs w:val="28"/>
        </w:rPr>
        <w:t>инансовое управление – финансовое у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правление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ЗАТО г. </w:t>
      </w:r>
      <w:r w:rsidR="00782489">
        <w:rPr>
          <w:rFonts w:ascii="Times New Roman" w:hAnsi="Times New Roman" w:cs="Times New Roman"/>
          <w:bCs/>
          <w:sz w:val="28"/>
          <w:szCs w:val="28"/>
        </w:rPr>
        <w:t>Радужный Владимирской области.</w:t>
      </w:r>
    </w:p>
    <w:p w:rsidR="00816DD0" w:rsidRPr="007C72F3" w:rsidRDefault="00EB6134" w:rsidP="00602E70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</w:t>
      </w:r>
      <w:r w:rsidR="004E35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591" w:rsidRPr="004E3591">
        <w:rPr>
          <w:rFonts w:ascii="Times New Roman" w:hAnsi="Times New Roman" w:cs="Times New Roman"/>
          <w:b/>
          <w:sz w:val="28"/>
          <w:szCs w:val="28"/>
        </w:rPr>
        <w:t xml:space="preserve">качества </w:t>
      </w:r>
      <w:r w:rsidR="00292760">
        <w:rPr>
          <w:rFonts w:ascii="Times New Roman" w:hAnsi="Times New Roman" w:cs="Times New Roman"/>
          <w:b/>
          <w:sz w:val="28"/>
          <w:szCs w:val="28"/>
        </w:rPr>
        <w:t>у</w:t>
      </w:r>
      <w:r w:rsidR="004E3591" w:rsidRPr="004E3591">
        <w:rPr>
          <w:rFonts w:ascii="Times New Roman" w:hAnsi="Times New Roman" w:cs="Times New Roman"/>
          <w:b/>
          <w:sz w:val="28"/>
          <w:szCs w:val="28"/>
        </w:rPr>
        <w:t>правлени</w:t>
      </w:r>
      <w:r w:rsidR="00292760">
        <w:rPr>
          <w:rFonts w:ascii="Times New Roman" w:hAnsi="Times New Roman" w:cs="Times New Roman"/>
          <w:b/>
          <w:sz w:val="28"/>
          <w:szCs w:val="28"/>
        </w:rPr>
        <w:t>я</w:t>
      </w:r>
      <w:r w:rsidR="004E3591" w:rsidRPr="004E3591">
        <w:rPr>
          <w:rFonts w:ascii="Times New Roman" w:hAnsi="Times New Roman" w:cs="Times New Roman"/>
          <w:b/>
          <w:sz w:val="28"/>
          <w:szCs w:val="28"/>
        </w:rPr>
        <w:t xml:space="preserve"> расходами бюджета</w:t>
      </w:r>
    </w:p>
    <w:p w:rsidR="00EB6134" w:rsidRPr="00A33C8F" w:rsidRDefault="00EB6134" w:rsidP="0027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6571B">
        <w:rPr>
          <w:rFonts w:ascii="Times New Roman" w:hAnsi="Times New Roman" w:cs="Times New Roman"/>
          <w:snapToGrid w:val="0"/>
          <w:sz w:val="28"/>
          <w:szCs w:val="28"/>
        </w:rPr>
        <w:t xml:space="preserve">Оценка </w:t>
      </w:r>
      <w:proofErr w:type="gramStart"/>
      <w:r w:rsidRPr="00D6571B">
        <w:rPr>
          <w:rFonts w:ascii="Times New Roman" w:hAnsi="Times New Roman" w:cs="Times New Roman"/>
          <w:snapToGrid w:val="0"/>
          <w:sz w:val="28"/>
          <w:szCs w:val="28"/>
        </w:rPr>
        <w:t>качества финансового менеджмента главн</w:t>
      </w:r>
      <w:r>
        <w:rPr>
          <w:rFonts w:ascii="Times New Roman" w:hAnsi="Times New Roman" w:cs="Times New Roman"/>
          <w:snapToGrid w:val="0"/>
          <w:sz w:val="28"/>
          <w:szCs w:val="28"/>
        </w:rPr>
        <w:t>ых</w:t>
      </w:r>
      <w:r w:rsidRPr="00D6571B">
        <w:rPr>
          <w:rFonts w:ascii="Times New Roman" w:hAnsi="Times New Roman" w:cs="Times New Roman"/>
          <w:snapToGrid w:val="0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Pr="00D6571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57436">
        <w:rPr>
          <w:rFonts w:ascii="Times New Roman" w:hAnsi="Times New Roman" w:cs="Times New Roman"/>
          <w:sz w:val="28"/>
          <w:szCs w:val="28"/>
        </w:rPr>
        <w:t>средств городского бюджета</w:t>
      </w:r>
      <w:proofErr w:type="gramEnd"/>
      <w:r w:rsidR="00857436" w:rsidRPr="00D6571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D6571B">
        <w:rPr>
          <w:rFonts w:ascii="Times New Roman" w:hAnsi="Times New Roman" w:cs="Times New Roman"/>
          <w:snapToGrid w:val="0"/>
          <w:sz w:val="28"/>
          <w:szCs w:val="28"/>
        </w:rPr>
        <w:t xml:space="preserve">по направлению «Управление расходами бюджета» показала, что большинство главных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администраторов достигли целевого значения, установленного на уровне </w:t>
      </w:r>
      <w:r w:rsidR="00857436">
        <w:rPr>
          <w:rFonts w:ascii="Times New Roman" w:hAnsi="Times New Roman" w:cs="Times New Roman"/>
          <w:snapToGrid w:val="0"/>
          <w:sz w:val="28"/>
          <w:szCs w:val="28"/>
        </w:rPr>
        <w:t>80 баллов</w:t>
      </w:r>
      <w:r w:rsidRPr="00D6571B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62331A">
        <w:rPr>
          <w:rFonts w:ascii="Times New Roman" w:hAnsi="Times New Roman" w:cs="Times New Roman"/>
          <w:snapToGrid w:val="0"/>
          <w:sz w:val="28"/>
          <w:szCs w:val="28"/>
        </w:rPr>
        <w:t xml:space="preserve"> Среднее значение оценки </w:t>
      </w:r>
      <w:r w:rsidR="001E094C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</w:t>
      </w:r>
      <w:r w:rsidR="0062331A">
        <w:rPr>
          <w:rFonts w:ascii="Times New Roman" w:hAnsi="Times New Roman" w:cs="Times New Roman"/>
          <w:snapToGrid w:val="0"/>
          <w:sz w:val="28"/>
          <w:szCs w:val="28"/>
        </w:rPr>
        <w:t xml:space="preserve">– </w:t>
      </w:r>
      <w:r w:rsidR="00857436">
        <w:rPr>
          <w:rFonts w:ascii="Times New Roman" w:hAnsi="Times New Roman" w:cs="Times New Roman"/>
          <w:snapToGrid w:val="0"/>
          <w:sz w:val="28"/>
          <w:szCs w:val="28"/>
        </w:rPr>
        <w:t>88,7</w:t>
      </w:r>
      <w:r w:rsidR="0062331A">
        <w:rPr>
          <w:rFonts w:ascii="Times New Roman" w:hAnsi="Times New Roman" w:cs="Times New Roman"/>
          <w:snapToGrid w:val="0"/>
          <w:sz w:val="28"/>
          <w:szCs w:val="28"/>
        </w:rPr>
        <w:t xml:space="preserve"> баллов</w:t>
      </w:r>
      <w:r w:rsidR="00167512">
        <w:rPr>
          <w:rFonts w:ascii="Times New Roman" w:hAnsi="Times New Roman" w:cs="Times New Roman"/>
          <w:snapToGrid w:val="0"/>
          <w:sz w:val="28"/>
          <w:szCs w:val="28"/>
        </w:rPr>
        <w:t>, максимальн</w:t>
      </w:r>
      <w:r w:rsidR="000F7D61">
        <w:rPr>
          <w:rFonts w:ascii="Times New Roman" w:hAnsi="Times New Roman" w:cs="Times New Roman"/>
          <w:snapToGrid w:val="0"/>
          <w:sz w:val="28"/>
          <w:szCs w:val="28"/>
        </w:rPr>
        <w:t>ое</w:t>
      </w:r>
      <w:r w:rsidR="00AF2EF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F05D3">
        <w:rPr>
          <w:rFonts w:ascii="Times New Roman" w:hAnsi="Times New Roman" w:cs="Times New Roman"/>
          <w:snapToGrid w:val="0"/>
          <w:sz w:val="28"/>
          <w:szCs w:val="28"/>
        </w:rPr>
        <w:t>– 99</w:t>
      </w:r>
      <w:r w:rsidR="00857436">
        <w:rPr>
          <w:rFonts w:ascii="Times New Roman" w:hAnsi="Times New Roman" w:cs="Times New Roman"/>
          <w:snapToGrid w:val="0"/>
          <w:sz w:val="28"/>
          <w:szCs w:val="28"/>
        </w:rPr>
        <w:t>,4</w:t>
      </w:r>
      <w:r w:rsidR="00AF2EFD">
        <w:rPr>
          <w:rFonts w:ascii="Times New Roman" w:hAnsi="Times New Roman" w:cs="Times New Roman"/>
          <w:snapToGrid w:val="0"/>
          <w:sz w:val="28"/>
          <w:szCs w:val="28"/>
        </w:rPr>
        <w:t xml:space="preserve"> баллов</w:t>
      </w:r>
      <w:r w:rsidR="006A5A34">
        <w:rPr>
          <w:rFonts w:ascii="Times New Roman" w:hAnsi="Times New Roman" w:cs="Times New Roman"/>
          <w:snapToGrid w:val="0"/>
          <w:sz w:val="28"/>
          <w:szCs w:val="28"/>
        </w:rPr>
        <w:t xml:space="preserve">, минимальное </w:t>
      </w:r>
      <w:r w:rsidR="00857436">
        <w:rPr>
          <w:rFonts w:ascii="Times New Roman" w:hAnsi="Times New Roman" w:cs="Times New Roman"/>
          <w:snapToGrid w:val="0"/>
          <w:sz w:val="28"/>
          <w:szCs w:val="28"/>
        </w:rPr>
        <w:t xml:space="preserve">72,7 балла </w:t>
      </w:r>
      <w:r w:rsidR="006A5A34">
        <w:rPr>
          <w:rFonts w:ascii="Times New Roman" w:hAnsi="Times New Roman" w:cs="Times New Roman"/>
          <w:snapToGrid w:val="0"/>
          <w:sz w:val="28"/>
          <w:szCs w:val="28"/>
        </w:rPr>
        <w:t>(</w:t>
      </w:r>
      <w:r w:rsidR="00857436">
        <w:rPr>
          <w:rFonts w:ascii="Times New Roman" w:hAnsi="Times New Roman" w:cs="Times New Roman"/>
          <w:snapToGrid w:val="0"/>
          <w:sz w:val="28"/>
          <w:szCs w:val="28"/>
        </w:rPr>
        <w:t>отклонение</w:t>
      </w:r>
      <w:r w:rsidR="006A5A34">
        <w:rPr>
          <w:rFonts w:ascii="Times New Roman" w:hAnsi="Times New Roman" w:cs="Times New Roman"/>
          <w:snapToGrid w:val="0"/>
          <w:sz w:val="28"/>
          <w:szCs w:val="28"/>
        </w:rPr>
        <w:t xml:space="preserve"> от целевого значения </w:t>
      </w:r>
      <w:r w:rsidR="00857436">
        <w:rPr>
          <w:rFonts w:ascii="Times New Roman" w:hAnsi="Times New Roman" w:cs="Times New Roman"/>
          <w:snapToGrid w:val="0"/>
          <w:sz w:val="28"/>
          <w:szCs w:val="28"/>
        </w:rPr>
        <w:t>– 9%)</w:t>
      </w:r>
      <w:r w:rsidR="00A33C8F" w:rsidRPr="00A33C8F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EB6134" w:rsidRPr="00A33C8F" w:rsidRDefault="00EB6134" w:rsidP="0027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К факторам, </w:t>
      </w:r>
      <w:r w:rsidRPr="00EB6134">
        <w:rPr>
          <w:rFonts w:ascii="Times New Roman" w:hAnsi="Times New Roman" w:cs="Times New Roman"/>
          <w:b/>
          <w:snapToGrid w:val="0"/>
          <w:sz w:val="28"/>
          <w:szCs w:val="28"/>
        </w:rPr>
        <w:t>положительно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характеризующим качество управления расходами, следует отнести</w:t>
      </w:r>
      <w:r w:rsidR="00074F62">
        <w:rPr>
          <w:rFonts w:ascii="Times New Roman" w:hAnsi="Times New Roman" w:cs="Times New Roman"/>
          <w:snapToGrid w:val="0"/>
          <w:sz w:val="28"/>
          <w:szCs w:val="28"/>
        </w:rPr>
        <w:t xml:space="preserve"> следующее</w:t>
      </w:r>
      <w:r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897BA8" w:rsidRDefault="00EB6134" w:rsidP="00B90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1) высокий процент исполнения бюджета города по расходам. Д</w:t>
      </w:r>
      <w:r w:rsidR="00ED3326">
        <w:rPr>
          <w:rFonts w:ascii="Times New Roman" w:hAnsi="Times New Roman" w:cs="Times New Roman"/>
          <w:snapToGrid w:val="0"/>
          <w:sz w:val="28"/>
          <w:szCs w:val="28"/>
        </w:rPr>
        <w:t>ля достижения заданного целевого значения оценки качества финансового менеджмента д</w:t>
      </w:r>
      <w:r w:rsidRPr="001418A1">
        <w:rPr>
          <w:rFonts w:ascii="Times New Roman" w:hAnsi="Times New Roman" w:cs="Times New Roman"/>
          <w:snapToGrid w:val="0"/>
          <w:sz w:val="28"/>
          <w:szCs w:val="28"/>
        </w:rPr>
        <w:t xml:space="preserve">оля неиспользованных на конец года бюджетных ассигнований </w:t>
      </w:r>
      <w:r w:rsidR="00ED3326">
        <w:rPr>
          <w:rFonts w:ascii="Times New Roman" w:hAnsi="Times New Roman" w:cs="Times New Roman"/>
          <w:snapToGrid w:val="0"/>
          <w:sz w:val="28"/>
          <w:szCs w:val="28"/>
        </w:rPr>
        <w:t>не должна превышать</w:t>
      </w:r>
      <w:r w:rsidR="00897BA8">
        <w:rPr>
          <w:rFonts w:ascii="Times New Roman" w:hAnsi="Times New Roman" w:cs="Times New Roman"/>
          <w:snapToGrid w:val="0"/>
          <w:sz w:val="28"/>
          <w:szCs w:val="28"/>
        </w:rPr>
        <w:t xml:space="preserve"> 3,6%</w:t>
      </w:r>
      <w:r w:rsidRPr="001418A1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897BA8">
        <w:rPr>
          <w:rFonts w:ascii="Times New Roman" w:hAnsi="Times New Roman" w:cs="Times New Roman"/>
          <w:snapToGrid w:val="0"/>
          <w:sz w:val="28"/>
          <w:szCs w:val="28"/>
        </w:rPr>
        <w:t>Превышение предельного значения допустили: администрация города (доля неисполненных бюджетных ассигнований – 5%) и МКУ «ГКМХ»</w:t>
      </w:r>
      <w:r w:rsidR="00897BA8" w:rsidRPr="00897BA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97BA8">
        <w:rPr>
          <w:rFonts w:ascii="Times New Roman" w:hAnsi="Times New Roman" w:cs="Times New Roman"/>
          <w:snapToGrid w:val="0"/>
          <w:sz w:val="28"/>
          <w:szCs w:val="28"/>
        </w:rPr>
        <w:t xml:space="preserve">(доля неисполненных бюджетных ассигнований – 9%). Средняя оценка по показателю </w:t>
      </w:r>
      <w:r w:rsidR="00ED3326">
        <w:rPr>
          <w:rFonts w:ascii="Times New Roman" w:hAnsi="Times New Roman" w:cs="Times New Roman"/>
          <w:snapToGrid w:val="0"/>
          <w:sz w:val="28"/>
          <w:szCs w:val="28"/>
        </w:rPr>
        <w:t>«Д</w:t>
      </w:r>
      <w:r w:rsidR="00ED3326" w:rsidRPr="001418A1">
        <w:rPr>
          <w:rFonts w:ascii="Times New Roman" w:hAnsi="Times New Roman" w:cs="Times New Roman"/>
          <w:snapToGrid w:val="0"/>
          <w:sz w:val="28"/>
          <w:szCs w:val="28"/>
        </w:rPr>
        <w:t>оля неиспользованных на конец года бюджетных ассигнований</w:t>
      </w:r>
      <w:r w:rsidR="00ED3326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897BA8">
        <w:rPr>
          <w:rFonts w:ascii="Times New Roman" w:hAnsi="Times New Roman" w:cs="Times New Roman"/>
          <w:snapToGrid w:val="0"/>
          <w:sz w:val="28"/>
          <w:szCs w:val="28"/>
        </w:rPr>
        <w:t>– 86,3 балла, максимальная – 100,0 баллов, минимальная – 12,5 баллов;</w:t>
      </w:r>
    </w:p>
    <w:p w:rsidR="00EB6134" w:rsidRDefault="00EB6134" w:rsidP="00FE6C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2) низкий уровень </w:t>
      </w:r>
      <w:r w:rsidRPr="002A6310">
        <w:rPr>
          <w:rFonts w:ascii="Times New Roman" w:hAnsi="Times New Roman" w:cs="Times New Roman"/>
          <w:snapToGrid w:val="0"/>
          <w:sz w:val="28"/>
          <w:szCs w:val="28"/>
        </w:rPr>
        <w:t>кредиторской задолженност</w:t>
      </w:r>
      <w:r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2A6310">
        <w:rPr>
          <w:rFonts w:ascii="Times New Roman" w:hAnsi="Times New Roman" w:cs="Times New Roman"/>
          <w:snapToGrid w:val="0"/>
          <w:sz w:val="28"/>
          <w:szCs w:val="28"/>
        </w:rPr>
        <w:t xml:space="preserve"> по расходам на поставки товаров, оказание услуг, выполнение работ для муниципальных нужд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на конец отчетного года. </w:t>
      </w:r>
      <w:proofErr w:type="gramStart"/>
      <w:r w:rsidR="00374844">
        <w:rPr>
          <w:rFonts w:ascii="Times New Roman" w:hAnsi="Times New Roman" w:cs="Times New Roman"/>
          <w:snapToGrid w:val="0"/>
          <w:sz w:val="28"/>
          <w:szCs w:val="28"/>
        </w:rPr>
        <w:t>Для достижения заданного целевого значения оценки качества финансового менеджмента д</w:t>
      </w:r>
      <w:r>
        <w:rPr>
          <w:rFonts w:ascii="Times New Roman" w:hAnsi="Times New Roman" w:cs="Times New Roman"/>
          <w:snapToGrid w:val="0"/>
          <w:sz w:val="28"/>
          <w:szCs w:val="28"/>
        </w:rPr>
        <w:t>оля</w:t>
      </w:r>
      <w:r w:rsidRPr="002A6310">
        <w:rPr>
          <w:rFonts w:ascii="Times New Roman" w:hAnsi="Times New Roman" w:cs="Times New Roman"/>
          <w:snapToGrid w:val="0"/>
          <w:sz w:val="28"/>
          <w:szCs w:val="28"/>
        </w:rPr>
        <w:t xml:space="preserve"> кредиторской задолженности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по закупкам </w:t>
      </w:r>
      <w:r w:rsidRPr="002A6310">
        <w:rPr>
          <w:rFonts w:ascii="Times New Roman" w:hAnsi="Times New Roman" w:cs="Times New Roman"/>
          <w:snapToGrid w:val="0"/>
          <w:sz w:val="28"/>
          <w:szCs w:val="28"/>
        </w:rPr>
        <w:t xml:space="preserve">на конец отчетного года </w:t>
      </w:r>
      <w:r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2A631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объеме </w:t>
      </w:r>
      <w:r w:rsidRPr="002A6310">
        <w:rPr>
          <w:rFonts w:ascii="Times New Roman" w:hAnsi="Times New Roman" w:cs="Times New Roman"/>
          <w:snapToGrid w:val="0"/>
          <w:sz w:val="28"/>
          <w:szCs w:val="28"/>
        </w:rPr>
        <w:t>кассов</w:t>
      </w:r>
      <w:r>
        <w:rPr>
          <w:rFonts w:ascii="Times New Roman" w:hAnsi="Times New Roman" w:cs="Times New Roman"/>
          <w:snapToGrid w:val="0"/>
          <w:sz w:val="28"/>
          <w:szCs w:val="28"/>
        </w:rPr>
        <w:t>ого исполнения</w:t>
      </w:r>
      <w:r w:rsidRPr="002A631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по указанным расходам</w:t>
      </w:r>
      <w:r w:rsidRPr="002A6310">
        <w:rPr>
          <w:rFonts w:ascii="Times New Roman" w:hAnsi="Times New Roman" w:cs="Times New Roman"/>
          <w:snapToGrid w:val="0"/>
          <w:sz w:val="28"/>
          <w:szCs w:val="28"/>
        </w:rPr>
        <w:t xml:space="preserve"> не </w:t>
      </w:r>
      <w:r w:rsidR="00FE6C51">
        <w:rPr>
          <w:rFonts w:ascii="Times New Roman" w:hAnsi="Times New Roman" w:cs="Times New Roman"/>
          <w:snapToGrid w:val="0"/>
          <w:sz w:val="28"/>
          <w:szCs w:val="28"/>
        </w:rPr>
        <w:t>должна превышать</w:t>
      </w:r>
      <w:r w:rsidRPr="002A6310">
        <w:rPr>
          <w:rFonts w:ascii="Times New Roman" w:hAnsi="Times New Roman" w:cs="Times New Roman"/>
          <w:snapToGrid w:val="0"/>
          <w:sz w:val="28"/>
          <w:szCs w:val="28"/>
        </w:rPr>
        <w:t xml:space="preserve"> 2</w:t>
      </w:r>
      <w:r w:rsidR="00D969C1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2A6310">
        <w:rPr>
          <w:rFonts w:ascii="Times New Roman" w:hAnsi="Times New Roman" w:cs="Times New Roman"/>
          <w:snapToGrid w:val="0"/>
          <w:sz w:val="28"/>
          <w:szCs w:val="28"/>
        </w:rPr>
        <w:t>%</w:t>
      </w:r>
      <w:r w:rsidR="00FE6C51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D969C1">
        <w:rPr>
          <w:rFonts w:ascii="Times New Roman" w:hAnsi="Times New Roman" w:cs="Times New Roman"/>
          <w:snapToGrid w:val="0"/>
          <w:sz w:val="28"/>
          <w:szCs w:val="28"/>
        </w:rPr>
        <w:t xml:space="preserve"> Средняя оценка по показателю </w:t>
      </w:r>
      <w:r w:rsidR="003B3CA6">
        <w:rPr>
          <w:rFonts w:ascii="Times New Roman" w:hAnsi="Times New Roman" w:cs="Times New Roman"/>
          <w:snapToGrid w:val="0"/>
          <w:sz w:val="28"/>
          <w:szCs w:val="28"/>
        </w:rPr>
        <w:t xml:space="preserve">«Качество управления кредиторской задолженностью по расходам на поставки товаров, оказание услуг, выполнение работ для муниципальных нужд» </w:t>
      </w:r>
      <w:r w:rsidR="00D969C1">
        <w:rPr>
          <w:rFonts w:ascii="Times New Roman" w:hAnsi="Times New Roman" w:cs="Times New Roman"/>
          <w:snapToGrid w:val="0"/>
          <w:sz w:val="28"/>
          <w:szCs w:val="28"/>
        </w:rPr>
        <w:t>– 100,0 баллов</w:t>
      </w:r>
      <w:r w:rsidR="00FE6C51">
        <w:rPr>
          <w:rFonts w:ascii="Times New Roman" w:hAnsi="Times New Roman" w:cs="Times New Roman"/>
          <w:snapToGrid w:val="0"/>
          <w:sz w:val="28"/>
          <w:szCs w:val="28"/>
        </w:rPr>
        <w:t>;</w:t>
      </w:r>
      <w:proofErr w:type="gramEnd"/>
    </w:p>
    <w:p w:rsidR="003B087D" w:rsidRDefault="00E601A9" w:rsidP="003B08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3) </w:t>
      </w:r>
      <w:r>
        <w:rPr>
          <w:rFonts w:ascii="Times New Roman" w:hAnsi="Times New Roman" w:cs="Times New Roman"/>
          <w:sz w:val="28"/>
          <w:szCs w:val="28"/>
        </w:rPr>
        <w:t>соблюдение</w:t>
      </w:r>
      <w:r w:rsidR="003B087D">
        <w:rPr>
          <w:rFonts w:ascii="Times New Roman" w:hAnsi="Times New Roman" w:cs="Times New Roman"/>
          <w:sz w:val="28"/>
          <w:szCs w:val="28"/>
        </w:rPr>
        <w:t xml:space="preserve"> порядка принятия бюджетных обязательств на закупку товаров, работ и услуг</w:t>
      </w:r>
      <w:r w:rsidR="003B087D" w:rsidRPr="002D08AC">
        <w:rPr>
          <w:rFonts w:ascii="Times New Roman" w:hAnsi="Times New Roman" w:cs="Times New Roman"/>
          <w:sz w:val="28"/>
          <w:szCs w:val="28"/>
        </w:rPr>
        <w:t xml:space="preserve"> </w:t>
      </w:r>
      <w:r w:rsidR="003B087D">
        <w:rPr>
          <w:rFonts w:ascii="Times New Roman" w:hAnsi="Times New Roman" w:cs="Times New Roman"/>
          <w:sz w:val="28"/>
          <w:szCs w:val="28"/>
        </w:rPr>
        <w:t xml:space="preserve">со стороны главного распорядителя. </w:t>
      </w:r>
      <w:proofErr w:type="gramStart"/>
      <w:r w:rsidR="004F0106">
        <w:rPr>
          <w:rFonts w:ascii="Times New Roman" w:hAnsi="Times New Roman" w:cs="Times New Roman"/>
          <w:snapToGrid w:val="0"/>
          <w:sz w:val="28"/>
          <w:szCs w:val="28"/>
        </w:rPr>
        <w:t>Для достижения заданного целевого значения оценки качества финансового менеджмента</w:t>
      </w:r>
      <w:r w:rsidR="004F0106">
        <w:rPr>
          <w:rFonts w:ascii="Times New Roman" w:hAnsi="Times New Roman" w:cs="Times New Roman"/>
          <w:sz w:val="28"/>
          <w:szCs w:val="28"/>
        </w:rPr>
        <w:t xml:space="preserve"> </w:t>
      </w:r>
      <w:r w:rsidR="003B087D">
        <w:rPr>
          <w:rFonts w:ascii="Times New Roman" w:hAnsi="Times New Roman" w:cs="Times New Roman"/>
          <w:sz w:val="28"/>
          <w:szCs w:val="28"/>
        </w:rPr>
        <w:t>дол</w:t>
      </w:r>
      <w:r w:rsidR="004F0106">
        <w:rPr>
          <w:rFonts w:ascii="Times New Roman" w:hAnsi="Times New Roman" w:cs="Times New Roman"/>
          <w:sz w:val="28"/>
          <w:szCs w:val="28"/>
        </w:rPr>
        <w:t>я</w:t>
      </w:r>
      <w:r w:rsidR="003B087D">
        <w:rPr>
          <w:rFonts w:ascii="Times New Roman" w:hAnsi="Times New Roman" w:cs="Times New Roman"/>
          <w:sz w:val="28"/>
          <w:szCs w:val="28"/>
        </w:rPr>
        <w:t xml:space="preserve"> </w:t>
      </w:r>
      <w:r w:rsidR="003B087D">
        <w:rPr>
          <w:rFonts w:ascii="Times New Roman" w:hAnsi="Times New Roman" w:cs="Times New Roman"/>
          <w:snapToGrid w:val="0"/>
          <w:sz w:val="28"/>
          <w:szCs w:val="28"/>
        </w:rPr>
        <w:t xml:space="preserve">невостребованных, не подтвержденных бюджетными обязательствами лимитов бюджетных обязательств на закупку товаров, работ услуг для обеспечения муниципальных нужд относительно объема кассового исполнения этой категории расходов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не </w:t>
      </w:r>
      <w:r w:rsidR="004F0106">
        <w:rPr>
          <w:rFonts w:ascii="Times New Roman" w:hAnsi="Times New Roman" w:cs="Times New Roman"/>
          <w:snapToGrid w:val="0"/>
          <w:sz w:val="28"/>
          <w:szCs w:val="28"/>
        </w:rPr>
        <w:t>должна превышать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2%</w:t>
      </w:r>
      <w:r w:rsidR="003B087D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3B087D" w:rsidRPr="002D08A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3B087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ц</w:t>
      </w:r>
      <w:r w:rsidR="003B087D">
        <w:rPr>
          <w:rFonts w:ascii="Times New Roman" w:hAnsi="Times New Roman" w:cs="Times New Roman"/>
          <w:snapToGrid w:val="0"/>
          <w:sz w:val="28"/>
          <w:szCs w:val="28"/>
        </w:rPr>
        <w:t>елом главны</w:t>
      </w:r>
      <w:r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3B087D">
        <w:rPr>
          <w:rFonts w:ascii="Times New Roman" w:hAnsi="Times New Roman" w:cs="Times New Roman"/>
          <w:snapToGrid w:val="0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="003B087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средств городского бюджета</w:t>
      </w:r>
      <w:r w:rsidR="003B087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обеспечили </w:t>
      </w:r>
      <w:r>
        <w:rPr>
          <w:rFonts w:ascii="Times New Roman" w:hAnsi="Times New Roman" w:cs="Times New Roman"/>
          <w:sz w:val="28"/>
          <w:szCs w:val="28"/>
        </w:rPr>
        <w:t>соблюдение порядка принятия бюджетных обязательств на закупку товаров, работ и услуг на должном уровне</w:t>
      </w:r>
      <w:proofErr w:type="gramEnd"/>
      <w:r w:rsidR="003B087D">
        <w:rPr>
          <w:rFonts w:ascii="Times New Roman" w:hAnsi="Times New Roman" w:cs="Times New Roman"/>
          <w:snapToGrid w:val="0"/>
          <w:sz w:val="28"/>
          <w:szCs w:val="28"/>
        </w:rPr>
        <w:t xml:space="preserve">. Однако отмечено превышение предельно допустимого значения по данному показателю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у администрации </w:t>
      </w:r>
      <w:r w:rsidR="003B087D">
        <w:rPr>
          <w:rFonts w:ascii="Times New Roman" w:hAnsi="Times New Roman" w:cs="Times New Roman"/>
          <w:snapToGrid w:val="0"/>
          <w:sz w:val="28"/>
          <w:szCs w:val="28"/>
        </w:rPr>
        <w:t>(14%)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 у МКУ «ГКМХ» (7%). Средняя оценка по показателю </w:t>
      </w:r>
      <w:r w:rsidR="003B3CA6">
        <w:rPr>
          <w:rFonts w:ascii="Times New Roman" w:hAnsi="Times New Roman" w:cs="Times New Roman"/>
          <w:snapToGrid w:val="0"/>
          <w:sz w:val="28"/>
          <w:szCs w:val="28"/>
        </w:rPr>
        <w:t xml:space="preserve">«Соблюдение порядка принятия бюджетных обязательств на закупку товаров, работ и услуг» </w:t>
      </w:r>
      <w:r>
        <w:rPr>
          <w:rFonts w:ascii="Times New Roman" w:hAnsi="Times New Roman" w:cs="Times New Roman"/>
          <w:snapToGrid w:val="0"/>
          <w:sz w:val="28"/>
          <w:szCs w:val="28"/>
        </w:rPr>
        <w:t>– 83,0 балла, максимальная – 100,0 баллов, минимальная – 0,0 баллов</w:t>
      </w:r>
      <w:r w:rsidR="003B087D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E6C51" w:rsidRDefault="003B087D" w:rsidP="00FE6C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FE6C51">
        <w:rPr>
          <w:rFonts w:ascii="Times New Roman" w:hAnsi="Times New Roman" w:cs="Times New Roman"/>
          <w:snapToGrid w:val="0"/>
          <w:sz w:val="28"/>
          <w:szCs w:val="28"/>
        </w:rPr>
        <w:t xml:space="preserve">) </w:t>
      </w:r>
      <w:r w:rsidR="00FE6C51" w:rsidRPr="002A6310">
        <w:rPr>
          <w:rFonts w:ascii="Times New Roman" w:hAnsi="Times New Roman" w:cs="Times New Roman"/>
          <w:snapToGrid w:val="0"/>
          <w:sz w:val="28"/>
          <w:szCs w:val="28"/>
        </w:rPr>
        <w:t xml:space="preserve">отсутствие у всех главных администраторов </w:t>
      </w:r>
      <w:r w:rsidR="00D969C1">
        <w:rPr>
          <w:rFonts w:ascii="Times New Roman" w:hAnsi="Times New Roman" w:cs="Times New Roman"/>
          <w:snapToGrid w:val="0"/>
          <w:sz w:val="28"/>
          <w:szCs w:val="28"/>
        </w:rPr>
        <w:t xml:space="preserve">средств городского бюджета </w:t>
      </w:r>
      <w:r w:rsidR="00FE6C51" w:rsidRPr="002A6310">
        <w:rPr>
          <w:rFonts w:ascii="Times New Roman" w:hAnsi="Times New Roman" w:cs="Times New Roman"/>
          <w:snapToGrid w:val="0"/>
          <w:sz w:val="28"/>
          <w:szCs w:val="28"/>
        </w:rPr>
        <w:t>просроченной кредиторской задолженност</w:t>
      </w:r>
      <w:r w:rsidR="00D969C1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FE6C51" w:rsidRPr="002A631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E6C51">
        <w:rPr>
          <w:rFonts w:ascii="Times New Roman" w:hAnsi="Times New Roman" w:cs="Times New Roman"/>
          <w:snapToGrid w:val="0"/>
          <w:sz w:val="28"/>
          <w:szCs w:val="28"/>
        </w:rPr>
        <w:t xml:space="preserve">по расходам </w:t>
      </w:r>
      <w:r w:rsidR="00FE6C51" w:rsidRPr="002A6310">
        <w:rPr>
          <w:rFonts w:ascii="Times New Roman" w:hAnsi="Times New Roman" w:cs="Times New Roman"/>
          <w:snapToGrid w:val="0"/>
          <w:sz w:val="28"/>
          <w:szCs w:val="28"/>
        </w:rPr>
        <w:t>на конец отчетного года</w:t>
      </w:r>
      <w:r w:rsidR="00D969C1">
        <w:rPr>
          <w:rFonts w:ascii="Times New Roman" w:hAnsi="Times New Roman" w:cs="Times New Roman"/>
          <w:snapToGrid w:val="0"/>
          <w:sz w:val="28"/>
          <w:szCs w:val="28"/>
        </w:rPr>
        <w:t xml:space="preserve">. Средняя оценка по показателю </w:t>
      </w:r>
      <w:r w:rsidR="003B3CA6">
        <w:rPr>
          <w:rFonts w:ascii="Times New Roman" w:hAnsi="Times New Roman" w:cs="Times New Roman"/>
          <w:snapToGrid w:val="0"/>
          <w:sz w:val="28"/>
          <w:szCs w:val="28"/>
        </w:rPr>
        <w:t xml:space="preserve">«Наличие просроченной кредиторской задолженности по расходам» </w:t>
      </w:r>
      <w:r w:rsidR="00D969C1">
        <w:rPr>
          <w:rFonts w:ascii="Times New Roman" w:hAnsi="Times New Roman" w:cs="Times New Roman"/>
          <w:snapToGrid w:val="0"/>
          <w:sz w:val="28"/>
          <w:szCs w:val="28"/>
        </w:rPr>
        <w:t>– 100,0 баллов</w:t>
      </w:r>
      <w:r w:rsidR="00FE6C51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D969C1" w:rsidRDefault="003B087D" w:rsidP="00D969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="00D969C1">
        <w:rPr>
          <w:rFonts w:ascii="Times New Roman" w:hAnsi="Times New Roman" w:cs="Times New Roman"/>
          <w:snapToGrid w:val="0"/>
          <w:sz w:val="28"/>
          <w:szCs w:val="28"/>
        </w:rPr>
        <w:t xml:space="preserve">) </w:t>
      </w:r>
      <w:r w:rsidR="00D969C1" w:rsidRPr="002A6310">
        <w:rPr>
          <w:rFonts w:ascii="Times New Roman" w:hAnsi="Times New Roman" w:cs="Times New Roman"/>
          <w:snapToGrid w:val="0"/>
          <w:sz w:val="28"/>
          <w:szCs w:val="28"/>
        </w:rPr>
        <w:t xml:space="preserve">отсутствие у всех главных администраторов </w:t>
      </w:r>
      <w:r w:rsidR="00D969C1">
        <w:rPr>
          <w:rFonts w:ascii="Times New Roman" w:hAnsi="Times New Roman" w:cs="Times New Roman"/>
          <w:snapToGrid w:val="0"/>
          <w:sz w:val="28"/>
          <w:szCs w:val="28"/>
        </w:rPr>
        <w:t xml:space="preserve">средств городского бюджета </w:t>
      </w:r>
      <w:r w:rsidR="00D969C1" w:rsidRPr="002A6310">
        <w:rPr>
          <w:rFonts w:ascii="Times New Roman" w:hAnsi="Times New Roman" w:cs="Times New Roman"/>
          <w:snapToGrid w:val="0"/>
          <w:sz w:val="28"/>
          <w:szCs w:val="28"/>
        </w:rPr>
        <w:t xml:space="preserve">просроченной </w:t>
      </w:r>
      <w:r w:rsidR="00D969C1">
        <w:rPr>
          <w:rFonts w:ascii="Times New Roman" w:hAnsi="Times New Roman" w:cs="Times New Roman"/>
          <w:snapToGrid w:val="0"/>
          <w:sz w:val="28"/>
          <w:szCs w:val="28"/>
        </w:rPr>
        <w:t xml:space="preserve">дебиторской </w:t>
      </w:r>
      <w:r w:rsidR="00D969C1" w:rsidRPr="002A6310">
        <w:rPr>
          <w:rFonts w:ascii="Times New Roman" w:hAnsi="Times New Roman" w:cs="Times New Roman"/>
          <w:snapToGrid w:val="0"/>
          <w:sz w:val="28"/>
          <w:szCs w:val="28"/>
        </w:rPr>
        <w:t>задолженност</w:t>
      </w:r>
      <w:r w:rsidR="00D969C1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D969C1" w:rsidRPr="002A631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969C1">
        <w:rPr>
          <w:rFonts w:ascii="Times New Roman" w:hAnsi="Times New Roman" w:cs="Times New Roman"/>
          <w:snapToGrid w:val="0"/>
          <w:sz w:val="28"/>
          <w:szCs w:val="28"/>
        </w:rPr>
        <w:t xml:space="preserve">по расходам </w:t>
      </w:r>
      <w:r w:rsidR="00D969C1" w:rsidRPr="002A6310">
        <w:rPr>
          <w:rFonts w:ascii="Times New Roman" w:hAnsi="Times New Roman" w:cs="Times New Roman"/>
          <w:snapToGrid w:val="0"/>
          <w:sz w:val="28"/>
          <w:szCs w:val="28"/>
        </w:rPr>
        <w:t>на конец отчетного года</w:t>
      </w:r>
      <w:r w:rsidR="00D969C1">
        <w:rPr>
          <w:rFonts w:ascii="Times New Roman" w:hAnsi="Times New Roman" w:cs="Times New Roman"/>
          <w:snapToGrid w:val="0"/>
          <w:sz w:val="28"/>
          <w:szCs w:val="28"/>
        </w:rPr>
        <w:t xml:space="preserve">. Средняя оценка по показателю </w:t>
      </w:r>
      <w:r w:rsidR="003B3CA6">
        <w:rPr>
          <w:rFonts w:ascii="Times New Roman" w:hAnsi="Times New Roman" w:cs="Times New Roman"/>
          <w:snapToGrid w:val="0"/>
          <w:sz w:val="28"/>
          <w:szCs w:val="28"/>
        </w:rPr>
        <w:t xml:space="preserve">«Наличие просроченной дебиторской задолженности по расходам» </w:t>
      </w:r>
      <w:r w:rsidR="00D969C1">
        <w:rPr>
          <w:rFonts w:ascii="Times New Roman" w:hAnsi="Times New Roman" w:cs="Times New Roman"/>
          <w:snapToGrid w:val="0"/>
          <w:sz w:val="28"/>
          <w:szCs w:val="28"/>
        </w:rPr>
        <w:t>– 100,0 баллов;</w:t>
      </w:r>
    </w:p>
    <w:p w:rsidR="00FE6C51" w:rsidRDefault="003B087D" w:rsidP="00FE6C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="00FE6C51">
        <w:rPr>
          <w:rFonts w:ascii="Times New Roman" w:hAnsi="Times New Roman" w:cs="Times New Roman"/>
          <w:snapToGrid w:val="0"/>
          <w:sz w:val="28"/>
          <w:szCs w:val="28"/>
        </w:rPr>
        <w:t xml:space="preserve">) </w:t>
      </w:r>
      <w:r w:rsidR="00074F62">
        <w:rPr>
          <w:rFonts w:ascii="Times New Roman" w:hAnsi="Times New Roman" w:cs="Times New Roman"/>
          <w:snapToGrid w:val="0"/>
          <w:sz w:val="28"/>
          <w:szCs w:val="28"/>
        </w:rPr>
        <w:t>незначительно</w:t>
      </w:r>
      <w:r w:rsidR="00D969C1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074F62">
        <w:rPr>
          <w:rFonts w:ascii="Times New Roman" w:hAnsi="Times New Roman" w:cs="Times New Roman"/>
          <w:snapToGrid w:val="0"/>
          <w:sz w:val="28"/>
          <w:szCs w:val="28"/>
        </w:rPr>
        <w:t xml:space="preserve"> превышение </w:t>
      </w:r>
      <w:r w:rsidR="00FE6C51">
        <w:rPr>
          <w:rFonts w:ascii="Times New Roman" w:hAnsi="Times New Roman" w:cs="Times New Roman"/>
          <w:snapToGrid w:val="0"/>
          <w:sz w:val="28"/>
          <w:szCs w:val="28"/>
        </w:rPr>
        <w:t>объем</w:t>
      </w:r>
      <w:r w:rsidR="00074F62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FE6C51" w:rsidRPr="00FE6C51">
        <w:rPr>
          <w:rFonts w:ascii="Times New Roman" w:hAnsi="Times New Roman" w:cs="Times New Roman"/>
          <w:snapToGrid w:val="0"/>
          <w:sz w:val="28"/>
          <w:szCs w:val="28"/>
        </w:rPr>
        <w:t xml:space="preserve"> фактических выплат, осуществленных бюджетными учреждениями за счет средств субсидии на выполнение муниципального задания в отчетном году</w:t>
      </w:r>
      <w:r w:rsidR="00FE6C51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4F0106">
        <w:rPr>
          <w:rFonts w:ascii="Times New Roman" w:hAnsi="Times New Roman" w:cs="Times New Roman"/>
          <w:snapToGrid w:val="0"/>
          <w:sz w:val="28"/>
          <w:szCs w:val="28"/>
        </w:rPr>
        <w:t>первоначально утвержденного</w:t>
      </w:r>
      <w:r w:rsidR="00FE6C51" w:rsidRPr="00FE6C51">
        <w:rPr>
          <w:rFonts w:ascii="Times New Roman" w:hAnsi="Times New Roman" w:cs="Times New Roman"/>
          <w:snapToGrid w:val="0"/>
          <w:sz w:val="28"/>
          <w:szCs w:val="28"/>
        </w:rPr>
        <w:t xml:space="preserve"> объем</w:t>
      </w:r>
      <w:r w:rsidR="004F010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FE6C51" w:rsidRPr="00FE6C51">
        <w:rPr>
          <w:rFonts w:ascii="Times New Roman" w:hAnsi="Times New Roman" w:cs="Times New Roman"/>
          <w:snapToGrid w:val="0"/>
          <w:sz w:val="28"/>
          <w:szCs w:val="28"/>
        </w:rPr>
        <w:t xml:space="preserve"> лимитов бюджетных обязательств на предоставление субсидий на выполнение муниципального задания</w:t>
      </w:r>
      <w:r w:rsidR="00FE6C51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897BA8">
        <w:rPr>
          <w:rFonts w:ascii="Times New Roman" w:hAnsi="Times New Roman" w:cs="Times New Roman"/>
          <w:snapToGrid w:val="0"/>
          <w:sz w:val="28"/>
          <w:szCs w:val="28"/>
        </w:rPr>
        <w:t>Предельное</w:t>
      </w:r>
      <w:r w:rsidR="00074F62">
        <w:rPr>
          <w:rFonts w:ascii="Times New Roman" w:hAnsi="Times New Roman" w:cs="Times New Roman"/>
          <w:snapToGrid w:val="0"/>
          <w:sz w:val="28"/>
          <w:szCs w:val="28"/>
        </w:rPr>
        <w:t xml:space="preserve"> значение показателя</w:t>
      </w:r>
      <w:r w:rsidR="00FE6C5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F0106">
        <w:rPr>
          <w:rFonts w:ascii="Times New Roman" w:hAnsi="Times New Roman" w:cs="Times New Roman"/>
          <w:snapToGrid w:val="0"/>
          <w:sz w:val="28"/>
          <w:szCs w:val="28"/>
        </w:rPr>
        <w:t xml:space="preserve">для достижения заданного целевого значения оценки качества финансового менеджмента </w:t>
      </w:r>
      <w:r w:rsidR="00FE6C51">
        <w:rPr>
          <w:rFonts w:ascii="Times New Roman" w:hAnsi="Times New Roman" w:cs="Times New Roman"/>
          <w:snapToGrid w:val="0"/>
          <w:sz w:val="28"/>
          <w:szCs w:val="28"/>
        </w:rPr>
        <w:t>– не более 1</w:t>
      </w:r>
      <w:r w:rsidR="00897BA8">
        <w:rPr>
          <w:rFonts w:ascii="Times New Roman" w:hAnsi="Times New Roman" w:cs="Times New Roman"/>
          <w:snapToGrid w:val="0"/>
          <w:sz w:val="28"/>
          <w:szCs w:val="28"/>
        </w:rPr>
        <w:t>8</w:t>
      </w:r>
      <w:r w:rsidR="00FE6C51">
        <w:rPr>
          <w:rFonts w:ascii="Times New Roman" w:hAnsi="Times New Roman" w:cs="Times New Roman"/>
          <w:snapToGrid w:val="0"/>
          <w:sz w:val="28"/>
          <w:szCs w:val="28"/>
        </w:rPr>
        <w:t xml:space="preserve">%. </w:t>
      </w:r>
      <w:r w:rsidR="005B62E3">
        <w:rPr>
          <w:rFonts w:ascii="Times New Roman" w:hAnsi="Times New Roman" w:cs="Times New Roman"/>
          <w:snapToGrid w:val="0"/>
          <w:sz w:val="28"/>
          <w:szCs w:val="28"/>
        </w:rPr>
        <w:t xml:space="preserve">Средняя оценка по показателю </w:t>
      </w:r>
      <w:r w:rsidR="003B3CA6">
        <w:rPr>
          <w:rFonts w:ascii="Times New Roman" w:hAnsi="Times New Roman" w:cs="Times New Roman"/>
          <w:snapToGrid w:val="0"/>
          <w:sz w:val="28"/>
          <w:szCs w:val="28"/>
        </w:rPr>
        <w:t xml:space="preserve">«Качество планирования расходов на предоставление субсидий подведомственным муниципальным учреждениям на финансовое обеспечение муниципального задания на оказание муниципальных услуг (выполнение работ)» </w:t>
      </w:r>
      <w:r w:rsidR="005B62E3">
        <w:rPr>
          <w:rFonts w:ascii="Times New Roman" w:hAnsi="Times New Roman" w:cs="Times New Roman"/>
          <w:snapToGrid w:val="0"/>
          <w:sz w:val="28"/>
          <w:szCs w:val="28"/>
        </w:rPr>
        <w:t>– 100,0 баллов</w:t>
      </w:r>
      <w:r w:rsidR="00E06379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E06379" w:rsidRDefault="003B087D" w:rsidP="00E0637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="00E06379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E06379" w:rsidRPr="00E0637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74F62">
        <w:rPr>
          <w:rFonts w:ascii="Times New Roman" w:hAnsi="Times New Roman" w:cs="Times New Roman"/>
          <w:snapToGrid w:val="0"/>
          <w:sz w:val="28"/>
          <w:szCs w:val="28"/>
        </w:rPr>
        <w:t xml:space="preserve">утверждение главными администраторами </w:t>
      </w:r>
      <w:r w:rsidR="00E06379">
        <w:rPr>
          <w:rFonts w:ascii="Times New Roman" w:hAnsi="Times New Roman" w:cs="Times New Roman"/>
          <w:snapToGrid w:val="0"/>
          <w:sz w:val="28"/>
          <w:szCs w:val="28"/>
        </w:rPr>
        <w:t>базовы</w:t>
      </w:r>
      <w:r w:rsidR="00074F62">
        <w:rPr>
          <w:rFonts w:ascii="Times New Roman" w:hAnsi="Times New Roman" w:cs="Times New Roman"/>
          <w:snapToGrid w:val="0"/>
          <w:sz w:val="28"/>
          <w:szCs w:val="28"/>
        </w:rPr>
        <w:t>х</w:t>
      </w:r>
      <w:r w:rsidR="00E06379">
        <w:rPr>
          <w:rFonts w:ascii="Times New Roman" w:hAnsi="Times New Roman" w:cs="Times New Roman"/>
          <w:snapToGrid w:val="0"/>
          <w:sz w:val="28"/>
          <w:szCs w:val="28"/>
        </w:rPr>
        <w:t xml:space="preserve"> нормативны</w:t>
      </w:r>
      <w:r w:rsidR="00074F62">
        <w:rPr>
          <w:rFonts w:ascii="Times New Roman" w:hAnsi="Times New Roman" w:cs="Times New Roman"/>
          <w:snapToGrid w:val="0"/>
          <w:sz w:val="28"/>
          <w:szCs w:val="28"/>
        </w:rPr>
        <w:t>х</w:t>
      </w:r>
      <w:r w:rsidR="00E06379">
        <w:rPr>
          <w:rFonts w:ascii="Times New Roman" w:hAnsi="Times New Roman" w:cs="Times New Roman"/>
          <w:snapToGrid w:val="0"/>
          <w:sz w:val="28"/>
          <w:szCs w:val="28"/>
        </w:rPr>
        <w:t xml:space="preserve"> затрат и отраслевы</w:t>
      </w:r>
      <w:r w:rsidR="00074F62">
        <w:rPr>
          <w:rFonts w:ascii="Times New Roman" w:hAnsi="Times New Roman" w:cs="Times New Roman"/>
          <w:snapToGrid w:val="0"/>
          <w:sz w:val="28"/>
          <w:szCs w:val="28"/>
        </w:rPr>
        <w:t>х</w:t>
      </w:r>
      <w:r w:rsidR="00E06379">
        <w:rPr>
          <w:rFonts w:ascii="Times New Roman" w:hAnsi="Times New Roman" w:cs="Times New Roman"/>
          <w:snapToGrid w:val="0"/>
          <w:sz w:val="28"/>
          <w:szCs w:val="28"/>
        </w:rPr>
        <w:t xml:space="preserve"> корректирующи</w:t>
      </w:r>
      <w:r w:rsidR="00074F62">
        <w:rPr>
          <w:rFonts w:ascii="Times New Roman" w:hAnsi="Times New Roman" w:cs="Times New Roman"/>
          <w:snapToGrid w:val="0"/>
          <w:sz w:val="28"/>
          <w:szCs w:val="28"/>
        </w:rPr>
        <w:t>х коэффициентов</w:t>
      </w:r>
      <w:r w:rsidR="00E06379">
        <w:rPr>
          <w:rFonts w:ascii="Times New Roman" w:hAnsi="Times New Roman" w:cs="Times New Roman"/>
          <w:snapToGrid w:val="0"/>
          <w:sz w:val="28"/>
          <w:szCs w:val="28"/>
        </w:rPr>
        <w:t xml:space="preserve"> к ним на отчетный год для формирования и финансового обеспечения выполнения муниципального задания на оказание муниципальных услуг (выполнения работ) муниципальными бюджетными учреждениями в полном объеме</w:t>
      </w:r>
      <w:r w:rsidR="00074F62">
        <w:rPr>
          <w:rFonts w:ascii="Times New Roman" w:hAnsi="Times New Roman" w:cs="Times New Roman"/>
          <w:snapToGrid w:val="0"/>
          <w:sz w:val="28"/>
          <w:szCs w:val="28"/>
        </w:rPr>
        <w:t xml:space="preserve"> и</w:t>
      </w:r>
      <w:r w:rsidR="00E06379">
        <w:rPr>
          <w:rFonts w:ascii="Times New Roman" w:hAnsi="Times New Roman" w:cs="Times New Roman"/>
          <w:snapToGrid w:val="0"/>
          <w:sz w:val="28"/>
          <w:szCs w:val="28"/>
        </w:rPr>
        <w:t xml:space="preserve"> в установленном порядке</w:t>
      </w:r>
      <w:r w:rsidR="005B62E3">
        <w:rPr>
          <w:rFonts w:ascii="Times New Roman" w:hAnsi="Times New Roman" w:cs="Times New Roman"/>
          <w:snapToGrid w:val="0"/>
          <w:sz w:val="28"/>
          <w:szCs w:val="28"/>
        </w:rPr>
        <w:t xml:space="preserve">. Средняя оценка по показателю </w:t>
      </w:r>
      <w:r w:rsidR="003B3CA6">
        <w:rPr>
          <w:rFonts w:ascii="Times New Roman" w:hAnsi="Times New Roman" w:cs="Times New Roman"/>
          <w:snapToGrid w:val="0"/>
          <w:sz w:val="28"/>
          <w:szCs w:val="28"/>
        </w:rPr>
        <w:t xml:space="preserve">«Качество правовой </w:t>
      </w:r>
      <w:proofErr w:type="gramStart"/>
      <w:r w:rsidR="003B3CA6">
        <w:rPr>
          <w:rFonts w:ascii="Times New Roman" w:hAnsi="Times New Roman" w:cs="Times New Roman"/>
          <w:snapToGrid w:val="0"/>
          <w:sz w:val="28"/>
          <w:szCs w:val="28"/>
        </w:rPr>
        <w:t>базы по порядку формирования финансового обеспечения выполнения муниципального задания</w:t>
      </w:r>
      <w:proofErr w:type="gramEnd"/>
      <w:r w:rsidR="003B3CA6">
        <w:rPr>
          <w:rFonts w:ascii="Times New Roman" w:hAnsi="Times New Roman" w:cs="Times New Roman"/>
          <w:snapToGrid w:val="0"/>
          <w:sz w:val="28"/>
          <w:szCs w:val="28"/>
        </w:rPr>
        <w:t xml:space="preserve"> на оказание муниципальных услуг (выполнение работ)» </w:t>
      </w:r>
      <w:r w:rsidR="005B62E3">
        <w:rPr>
          <w:rFonts w:ascii="Times New Roman" w:hAnsi="Times New Roman" w:cs="Times New Roman"/>
          <w:snapToGrid w:val="0"/>
          <w:sz w:val="28"/>
          <w:szCs w:val="28"/>
        </w:rPr>
        <w:t>– 100,0 баллов</w:t>
      </w:r>
      <w:r w:rsidR="00E06379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E06379" w:rsidRDefault="003B087D" w:rsidP="00E0637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8</w:t>
      </w:r>
      <w:r w:rsidR="00E06379">
        <w:rPr>
          <w:rFonts w:ascii="Times New Roman" w:hAnsi="Times New Roman" w:cs="Times New Roman"/>
          <w:snapToGrid w:val="0"/>
          <w:sz w:val="28"/>
          <w:szCs w:val="28"/>
        </w:rPr>
        <w:t xml:space="preserve">) </w:t>
      </w:r>
      <w:r w:rsidR="00074F62">
        <w:rPr>
          <w:rFonts w:ascii="Times New Roman" w:hAnsi="Times New Roman" w:cs="Times New Roman"/>
          <w:snapToGrid w:val="0"/>
          <w:sz w:val="28"/>
          <w:szCs w:val="28"/>
        </w:rPr>
        <w:t xml:space="preserve">соответствие </w:t>
      </w:r>
      <w:r w:rsidR="00E06379">
        <w:rPr>
          <w:rFonts w:ascii="Times New Roman" w:hAnsi="Times New Roman" w:cs="Times New Roman"/>
          <w:snapToGrid w:val="0"/>
          <w:sz w:val="28"/>
          <w:szCs w:val="28"/>
        </w:rPr>
        <w:t>фактически</w:t>
      </w:r>
      <w:r w:rsidR="00074F62">
        <w:rPr>
          <w:rFonts w:ascii="Times New Roman" w:hAnsi="Times New Roman" w:cs="Times New Roman"/>
          <w:snapToGrid w:val="0"/>
          <w:sz w:val="28"/>
          <w:szCs w:val="28"/>
        </w:rPr>
        <w:t>х</w:t>
      </w:r>
      <w:r w:rsidR="00E06379">
        <w:rPr>
          <w:rFonts w:ascii="Times New Roman" w:hAnsi="Times New Roman" w:cs="Times New Roman"/>
          <w:snapToGrid w:val="0"/>
          <w:sz w:val="28"/>
          <w:szCs w:val="28"/>
        </w:rPr>
        <w:t xml:space="preserve"> срок</w:t>
      </w:r>
      <w:r w:rsidR="00074F62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="00E06379">
        <w:rPr>
          <w:rFonts w:ascii="Times New Roman" w:hAnsi="Times New Roman" w:cs="Times New Roman"/>
          <w:snapToGrid w:val="0"/>
          <w:sz w:val="28"/>
          <w:szCs w:val="28"/>
        </w:rPr>
        <w:t xml:space="preserve"> предоставления юридическим лицам средств из городского бюджета в форме субсидий в отчетном году условиям заключенных соглашений</w:t>
      </w:r>
      <w:r w:rsidR="005B62E3">
        <w:rPr>
          <w:rFonts w:ascii="Times New Roman" w:hAnsi="Times New Roman" w:cs="Times New Roman"/>
          <w:snapToGrid w:val="0"/>
          <w:sz w:val="28"/>
          <w:szCs w:val="28"/>
        </w:rPr>
        <w:t xml:space="preserve">. Средняя оценка по показателю </w:t>
      </w:r>
      <w:r w:rsidR="003B3CA6">
        <w:rPr>
          <w:rFonts w:ascii="Times New Roman" w:hAnsi="Times New Roman" w:cs="Times New Roman"/>
          <w:snapToGrid w:val="0"/>
          <w:sz w:val="28"/>
          <w:szCs w:val="28"/>
        </w:rPr>
        <w:t xml:space="preserve">«Своевременность </w:t>
      </w:r>
      <w:r w:rsidR="003B3CA6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предоставления юридическим лицам средств из городского бюджета в форме субсидий» </w:t>
      </w:r>
      <w:r w:rsidR="005B62E3">
        <w:rPr>
          <w:rFonts w:ascii="Times New Roman" w:hAnsi="Times New Roman" w:cs="Times New Roman"/>
          <w:snapToGrid w:val="0"/>
          <w:sz w:val="28"/>
          <w:szCs w:val="28"/>
        </w:rPr>
        <w:t>– 100,0 баллов</w:t>
      </w:r>
      <w:r w:rsidR="00E06379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74F62" w:rsidRDefault="00074F62" w:rsidP="00074F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К факторам,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негативно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характеризующим качество управления расходами, следует отнести следующее:</w:t>
      </w:r>
    </w:p>
    <w:p w:rsidR="003B087D" w:rsidRDefault="00074F62" w:rsidP="00FE6C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1) </w:t>
      </w:r>
      <w:r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главными администраторами </w:t>
      </w:r>
      <w:r w:rsidR="005B62E3">
        <w:rPr>
          <w:rFonts w:ascii="Times New Roman" w:hAnsi="Times New Roman" w:cs="Times New Roman"/>
          <w:snapToGrid w:val="0"/>
          <w:sz w:val="28"/>
          <w:szCs w:val="28"/>
        </w:rPr>
        <w:t>средств городского бюджета</w:t>
      </w:r>
      <w:r w:rsidR="005B62E3"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не обеспечена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должном уровне</w:t>
      </w:r>
      <w:r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 равномерность расходования средств бюджета</w:t>
      </w:r>
      <w:r w:rsidR="00897BA8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4F0106">
        <w:rPr>
          <w:rFonts w:ascii="Times New Roman" w:hAnsi="Times New Roman" w:cs="Times New Roman"/>
          <w:snapToGrid w:val="0"/>
          <w:sz w:val="28"/>
          <w:szCs w:val="28"/>
        </w:rPr>
        <w:t>Для достижения заданного целевого значения оценки качества финансового менеджмента</w:t>
      </w:r>
      <w:r w:rsidR="004F0106"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F010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бъем кассовых расходов городского бюджета в 4 квартале </w:t>
      </w:r>
      <w:r w:rsidR="003B087D">
        <w:rPr>
          <w:rFonts w:ascii="Times New Roman" w:hAnsi="Times New Roman" w:cs="Times New Roman"/>
          <w:snapToGrid w:val="0"/>
          <w:sz w:val="28"/>
          <w:szCs w:val="28"/>
        </w:rPr>
        <w:t xml:space="preserve">не должен превышать 138% </w:t>
      </w:r>
      <w:r>
        <w:rPr>
          <w:rFonts w:ascii="Times New Roman" w:hAnsi="Times New Roman" w:cs="Times New Roman"/>
          <w:snapToGrid w:val="0"/>
          <w:sz w:val="28"/>
          <w:szCs w:val="28"/>
        </w:rPr>
        <w:t>среднеквартального</w:t>
      </w:r>
      <w:r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 кассовых расходов</w:t>
      </w:r>
      <w:r w:rsidR="004F0106">
        <w:rPr>
          <w:rFonts w:ascii="Times New Roman" w:hAnsi="Times New Roman" w:cs="Times New Roman"/>
          <w:snapToGrid w:val="0"/>
          <w:sz w:val="28"/>
          <w:szCs w:val="28"/>
        </w:rPr>
        <w:t xml:space="preserve">, рассчитанного по итогам исполнения городского бюджета по расходам </w:t>
      </w:r>
      <w:r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за </w:t>
      </w:r>
      <w:r w:rsidR="004F0106">
        <w:rPr>
          <w:rFonts w:ascii="Times New Roman" w:hAnsi="Times New Roman" w:cs="Times New Roman"/>
          <w:snapToGrid w:val="0"/>
          <w:sz w:val="28"/>
          <w:szCs w:val="28"/>
        </w:rPr>
        <w:t>9 месяцев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отчетного года</w:t>
      </w:r>
      <w:r w:rsidR="005B62E3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3B087D">
        <w:rPr>
          <w:rFonts w:ascii="Times New Roman" w:hAnsi="Times New Roman" w:cs="Times New Roman"/>
          <w:snapToGrid w:val="0"/>
          <w:sz w:val="28"/>
          <w:szCs w:val="28"/>
        </w:rPr>
        <w:t xml:space="preserve">Превышение предельного значения допустили: СНД (148%), администрация города (148%), МКУ «УГОЧС» (145%), МКУ «УАЗ» (147%), МКУ «Дорожник» (373%), КУМИ (169%), финансовое управление (153%). </w:t>
      </w:r>
      <w:r w:rsidR="005B62E3">
        <w:rPr>
          <w:rFonts w:ascii="Times New Roman" w:hAnsi="Times New Roman" w:cs="Times New Roman"/>
          <w:snapToGrid w:val="0"/>
          <w:sz w:val="28"/>
          <w:szCs w:val="28"/>
        </w:rPr>
        <w:t xml:space="preserve">Средняя оценка по показателю </w:t>
      </w:r>
      <w:r w:rsidR="003B3CA6">
        <w:rPr>
          <w:rFonts w:ascii="Times New Roman" w:hAnsi="Times New Roman" w:cs="Times New Roman"/>
          <w:snapToGrid w:val="0"/>
          <w:sz w:val="28"/>
          <w:szCs w:val="28"/>
        </w:rPr>
        <w:t xml:space="preserve">«Равномерность кассовых расходов бюджета» </w:t>
      </w:r>
      <w:r w:rsidR="005B62E3">
        <w:rPr>
          <w:rFonts w:ascii="Times New Roman" w:hAnsi="Times New Roman" w:cs="Times New Roman"/>
          <w:snapToGrid w:val="0"/>
          <w:sz w:val="28"/>
          <w:szCs w:val="28"/>
        </w:rPr>
        <w:t>– 58,2 баллов (</w:t>
      </w:r>
      <w:r w:rsidR="003232A2">
        <w:rPr>
          <w:rFonts w:ascii="Times New Roman" w:hAnsi="Times New Roman" w:cs="Times New Roman"/>
          <w:snapToGrid w:val="0"/>
          <w:sz w:val="28"/>
          <w:szCs w:val="28"/>
        </w:rPr>
        <w:t>отклонение от целевого значения</w:t>
      </w:r>
      <w:r w:rsidR="005B62E3">
        <w:rPr>
          <w:rFonts w:ascii="Times New Roman" w:hAnsi="Times New Roman" w:cs="Times New Roman"/>
          <w:snapToGrid w:val="0"/>
          <w:sz w:val="28"/>
          <w:szCs w:val="28"/>
        </w:rPr>
        <w:t xml:space="preserve"> 27%), максимальная – 94,4 балла</w:t>
      </w:r>
      <w:r w:rsidR="003B087D">
        <w:rPr>
          <w:rFonts w:ascii="Times New Roman" w:hAnsi="Times New Roman" w:cs="Times New Roman"/>
          <w:snapToGrid w:val="0"/>
          <w:sz w:val="28"/>
          <w:szCs w:val="28"/>
        </w:rPr>
        <w:t>, минимальная – 0</w:t>
      </w:r>
      <w:r w:rsidR="00E601A9">
        <w:rPr>
          <w:rFonts w:ascii="Times New Roman" w:hAnsi="Times New Roman" w:cs="Times New Roman"/>
          <w:snapToGrid w:val="0"/>
          <w:sz w:val="28"/>
          <w:szCs w:val="28"/>
        </w:rPr>
        <w:t>,0</w:t>
      </w:r>
      <w:r w:rsidR="003B087D">
        <w:rPr>
          <w:rFonts w:ascii="Times New Roman" w:hAnsi="Times New Roman" w:cs="Times New Roman"/>
          <w:snapToGrid w:val="0"/>
          <w:sz w:val="28"/>
          <w:szCs w:val="28"/>
        </w:rPr>
        <w:t xml:space="preserve"> баллов;</w:t>
      </w:r>
    </w:p>
    <w:p w:rsidR="003B087D" w:rsidRDefault="003B087D" w:rsidP="003B08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363A6A">
        <w:rPr>
          <w:rFonts w:ascii="Times New Roman" w:hAnsi="Times New Roman" w:cs="Times New Roman"/>
          <w:snapToGrid w:val="0"/>
          <w:sz w:val="28"/>
          <w:szCs w:val="28"/>
        </w:rPr>
        <w:t xml:space="preserve">) </w:t>
      </w:r>
      <w:r w:rsidR="002D08AC">
        <w:rPr>
          <w:rFonts w:ascii="Times New Roman" w:hAnsi="Times New Roman" w:cs="Times New Roman"/>
          <w:snapToGrid w:val="0"/>
          <w:sz w:val="28"/>
          <w:szCs w:val="28"/>
        </w:rPr>
        <w:t>отмечена высокая доля вложений в объекты</w:t>
      </w:r>
      <w:r w:rsidR="006A4ED3">
        <w:rPr>
          <w:rFonts w:ascii="Times New Roman" w:hAnsi="Times New Roman" w:cs="Times New Roman"/>
          <w:snapToGrid w:val="0"/>
          <w:sz w:val="28"/>
          <w:szCs w:val="28"/>
        </w:rPr>
        <w:t xml:space="preserve"> капитального строительства</w:t>
      </w:r>
      <w:r w:rsidR="002D08AC">
        <w:rPr>
          <w:rFonts w:ascii="Times New Roman" w:hAnsi="Times New Roman" w:cs="Times New Roman"/>
          <w:snapToGrid w:val="0"/>
          <w:sz w:val="28"/>
          <w:szCs w:val="28"/>
        </w:rPr>
        <w:t>, финансирование которых не осуществлялось в отчетном году, в общем объеме кассовых расходов на реализацию инвестиционных проектов с начала реализации.</w:t>
      </w:r>
      <w:r w:rsidR="002D08AC" w:rsidRPr="002D08A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Предельным</w:t>
      </w:r>
      <w:r w:rsidR="002D08AC">
        <w:rPr>
          <w:rFonts w:ascii="Times New Roman" w:hAnsi="Times New Roman" w:cs="Times New Roman"/>
          <w:snapToGrid w:val="0"/>
          <w:sz w:val="28"/>
          <w:szCs w:val="28"/>
        </w:rPr>
        <w:t xml:space="preserve"> значением </w:t>
      </w:r>
      <w:r w:rsidR="00D73368">
        <w:rPr>
          <w:rFonts w:ascii="Times New Roman" w:hAnsi="Times New Roman" w:cs="Times New Roman"/>
          <w:snapToGrid w:val="0"/>
          <w:sz w:val="28"/>
          <w:szCs w:val="28"/>
        </w:rPr>
        <w:t xml:space="preserve">данного </w:t>
      </w:r>
      <w:r w:rsidR="002D08AC">
        <w:rPr>
          <w:rFonts w:ascii="Times New Roman" w:hAnsi="Times New Roman" w:cs="Times New Roman"/>
          <w:snapToGrid w:val="0"/>
          <w:sz w:val="28"/>
          <w:szCs w:val="28"/>
        </w:rPr>
        <w:t xml:space="preserve">показателя </w:t>
      </w:r>
      <w:r w:rsidR="00D73368">
        <w:rPr>
          <w:rFonts w:ascii="Times New Roman" w:hAnsi="Times New Roman" w:cs="Times New Roman"/>
          <w:snapToGrid w:val="0"/>
          <w:sz w:val="28"/>
          <w:szCs w:val="28"/>
        </w:rPr>
        <w:t xml:space="preserve">для достижения заданного целевого значения оценки качества финансового менеджмента </w:t>
      </w:r>
      <w:r>
        <w:rPr>
          <w:rFonts w:ascii="Times New Roman" w:hAnsi="Times New Roman" w:cs="Times New Roman"/>
          <w:snapToGrid w:val="0"/>
          <w:sz w:val="28"/>
          <w:szCs w:val="28"/>
        </w:rPr>
        <w:t>является 20%. Превышение предельного значения</w:t>
      </w:r>
      <w:r w:rsidR="006A4ED3">
        <w:rPr>
          <w:rFonts w:ascii="Times New Roman" w:hAnsi="Times New Roman" w:cs="Times New Roman"/>
          <w:snapToGrid w:val="0"/>
          <w:sz w:val="28"/>
          <w:szCs w:val="28"/>
        </w:rPr>
        <w:t xml:space="preserve"> показателя установлено в МКУ «</w:t>
      </w:r>
      <w:r>
        <w:rPr>
          <w:rFonts w:ascii="Times New Roman" w:hAnsi="Times New Roman" w:cs="Times New Roman"/>
          <w:snapToGrid w:val="0"/>
          <w:sz w:val="28"/>
          <w:szCs w:val="28"/>
        </w:rPr>
        <w:t>ГКМХ</w:t>
      </w:r>
      <w:r w:rsidR="006A4ED3">
        <w:rPr>
          <w:rFonts w:ascii="Times New Roman" w:hAnsi="Times New Roman" w:cs="Times New Roman"/>
          <w:snapToGrid w:val="0"/>
          <w:sz w:val="28"/>
          <w:szCs w:val="28"/>
        </w:rPr>
        <w:t>» (58%).</w:t>
      </w:r>
      <w:r w:rsidRPr="003B087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Средняя оценка по показателю </w:t>
      </w:r>
      <w:r w:rsidR="003B3CA6">
        <w:rPr>
          <w:rFonts w:ascii="Times New Roman" w:hAnsi="Times New Roman" w:cs="Times New Roman"/>
          <w:snapToGrid w:val="0"/>
          <w:sz w:val="28"/>
          <w:szCs w:val="28"/>
        </w:rPr>
        <w:t xml:space="preserve">«Объем незавершенного производства» </w:t>
      </w:r>
      <w:r>
        <w:rPr>
          <w:rFonts w:ascii="Times New Roman" w:hAnsi="Times New Roman" w:cs="Times New Roman"/>
          <w:snapToGrid w:val="0"/>
          <w:sz w:val="28"/>
          <w:szCs w:val="28"/>
        </w:rPr>
        <w:t>– 79,0 баллов (</w:t>
      </w:r>
      <w:r w:rsidR="003232A2">
        <w:rPr>
          <w:rFonts w:ascii="Times New Roman" w:hAnsi="Times New Roman" w:cs="Times New Roman"/>
          <w:snapToGrid w:val="0"/>
          <w:sz w:val="28"/>
          <w:szCs w:val="28"/>
        </w:rPr>
        <w:t>отклонение от целевого значения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2,5%), максимальная – 100 баллов, минимальная – 58 баллов.</w:t>
      </w:r>
    </w:p>
    <w:p w:rsidR="006A4ED3" w:rsidRDefault="00363A6A" w:rsidP="00FE6C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C72F3">
        <w:rPr>
          <w:rFonts w:ascii="Times New Roman" w:hAnsi="Times New Roman" w:cs="Times New Roman"/>
          <w:snapToGrid w:val="0"/>
          <w:sz w:val="28"/>
          <w:szCs w:val="28"/>
        </w:rPr>
        <w:t>Главным администраторам при исполнении бюджета города по расходам следует обратить особое внимание на обеспечение равномерности расходова</w:t>
      </w:r>
      <w:r w:rsidR="00E601A9">
        <w:rPr>
          <w:rFonts w:ascii="Times New Roman" w:hAnsi="Times New Roman" w:cs="Times New Roman"/>
          <w:snapToGrid w:val="0"/>
          <w:sz w:val="28"/>
          <w:szCs w:val="28"/>
        </w:rPr>
        <w:t xml:space="preserve">ния средств городского бюджета </w:t>
      </w:r>
      <w:r w:rsidR="006A4ED3">
        <w:rPr>
          <w:rFonts w:ascii="Times New Roman" w:hAnsi="Times New Roman" w:cs="Times New Roman"/>
          <w:sz w:val="28"/>
          <w:szCs w:val="28"/>
        </w:rPr>
        <w:t xml:space="preserve">и принимать меры по снижению количества объектов капитального строительства, финансирование строительство по которым </w:t>
      </w:r>
      <w:r w:rsidR="00D73368">
        <w:rPr>
          <w:rFonts w:ascii="Times New Roman" w:hAnsi="Times New Roman" w:cs="Times New Roman"/>
          <w:sz w:val="28"/>
          <w:szCs w:val="28"/>
        </w:rPr>
        <w:t xml:space="preserve">в текущем финансовом году </w:t>
      </w:r>
      <w:r w:rsidR="006A4ED3">
        <w:rPr>
          <w:rFonts w:ascii="Times New Roman" w:hAnsi="Times New Roman" w:cs="Times New Roman"/>
          <w:sz w:val="28"/>
          <w:szCs w:val="28"/>
        </w:rPr>
        <w:t>приостановлено.</w:t>
      </w:r>
    </w:p>
    <w:p w:rsidR="00602E70" w:rsidRDefault="006A4ED3" w:rsidP="00C64C1D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О</w:t>
      </w:r>
      <w:r w:rsidR="004E3591" w:rsidRPr="004E3591">
        <w:rPr>
          <w:rFonts w:ascii="Times New Roman" w:hAnsi="Times New Roman" w:cs="Times New Roman"/>
          <w:b/>
          <w:snapToGrid w:val="0"/>
          <w:sz w:val="28"/>
          <w:szCs w:val="28"/>
        </w:rPr>
        <w:t>ценк</w:t>
      </w:r>
      <w:r w:rsidR="003B3CA6">
        <w:rPr>
          <w:rFonts w:ascii="Times New Roman" w:hAnsi="Times New Roman" w:cs="Times New Roman"/>
          <w:b/>
          <w:snapToGrid w:val="0"/>
          <w:sz w:val="28"/>
          <w:szCs w:val="28"/>
        </w:rPr>
        <w:t>а</w:t>
      </w:r>
      <w:r w:rsidR="004E3591" w:rsidRPr="004E359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4E3591" w:rsidRPr="00C64C1D">
        <w:rPr>
          <w:rFonts w:ascii="Times New Roman" w:hAnsi="Times New Roman" w:cs="Times New Roman"/>
          <w:b/>
          <w:sz w:val="28"/>
          <w:szCs w:val="28"/>
        </w:rPr>
        <w:t>качества</w:t>
      </w:r>
      <w:r w:rsidR="004E3591" w:rsidRPr="004E359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292760">
        <w:rPr>
          <w:rFonts w:ascii="Times New Roman" w:hAnsi="Times New Roman" w:cs="Times New Roman"/>
          <w:b/>
          <w:snapToGrid w:val="0"/>
          <w:sz w:val="28"/>
          <w:szCs w:val="28"/>
        </w:rPr>
        <w:t>исполнение судебных актов</w:t>
      </w:r>
    </w:p>
    <w:p w:rsidR="006A4ED3" w:rsidRPr="00CF0842" w:rsidRDefault="006A4ED3" w:rsidP="00CF0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6571B">
        <w:rPr>
          <w:rFonts w:ascii="Times New Roman" w:hAnsi="Times New Roman" w:cs="Times New Roman"/>
          <w:snapToGrid w:val="0"/>
          <w:sz w:val="28"/>
          <w:szCs w:val="28"/>
        </w:rPr>
        <w:t>Оценка качества финансового менеджмента главн</w:t>
      </w:r>
      <w:r w:rsidR="00051E58">
        <w:rPr>
          <w:rFonts w:ascii="Times New Roman" w:hAnsi="Times New Roman" w:cs="Times New Roman"/>
          <w:snapToGrid w:val="0"/>
          <w:sz w:val="28"/>
          <w:szCs w:val="28"/>
        </w:rPr>
        <w:t>ых</w:t>
      </w:r>
      <w:r w:rsidRPr="00D6571B">
        <w:rPr>
          <w:rFonts w:ascii="Times New Roman" w:hAnsi="Times New Roman" w:cs="Times New Roman"/>
          <w:snapToGrid w:val="0"/>
          <w:sz w:val="28"/>
          <w:szCs w:val="28"/>
        </w:rPr>
        <w:t xml:space="preserve"> администратор</w:t>
      </w:r>
      <w:r w:rsidR="00051E58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Pr="00D6571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51E58">
        <w:rPr>
          <w:rFonts w:ascii="Times New Roman" w:hAnsi="Times New Roman" w:cs="Times New Roman"/>
          <w:snapToGrid w:val="0"/>
          <w:sz w:val="28"/>
          <w:szCs w:val="28"/>
        </w:rPr>
        <w:t xml:space="preserve">средств городского бюджета </w:t>
      </w:r>
      <w:r w:rsidRPr="00D6571B">
        <w:rPr>
          <w:rFonts w:ascii="Times New Roman" w:hAnsi="Times New Roman" w:cs="Times New Roman"/>
          <w:snapToGrid w:val="0"/>
          <w:sz w:val="28"/>
          <w:szCs w:val="28"/>
        </w:rPr>
        <w:t>по направлению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02E70">
        <w:rPr>
          <w:rFonts w:ascii="Times New Roman" w:hAnsi="Times New Roman" w:cs="Times New Roman"/>
          <w:snapToGrid w:val="0"/>
          <w:sz w:val="28"/>
          <w:szCs w:val="28"/>
        </w:rPr>
        <w:t>«Исполнение судебных актов»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показала, что </w:t>
      </w:r>
      <w:r w:rsidR="00CF0842">
        <w:rPr>
          <w:rFonts w:ascii="Times New Roman" w:hAnsi="Times New Roman" w:cs="Times New Roman"/>
          <w:snapToGrid w:val="0"/>
          <w:sz w:val="28"/>
          <w:szCs w:val="28"/>
        </w:rPr>
        <w:t>в целом целевое значение оценки качества управления, установленное на уровне 80 баллов, достигнуто</w:t>
      </w:r>
      <w:proofErr w:type="gramStart"/>
      <w:r w:rsidR="00CF0842">
        <w:rPr>
          <w:rFonts w:ascii="Times New Roman" w:hAnsi="Times New Roman" w:cs="Times New Roman"/>
          <w:snapToGrid w:val="0"/>
          <w:sz w:val="28"/>
          <w:szCs w:val="28"/>
        </w:rPr>
        <w:t>.</w:t>
      </w:r>
      <w:proofErr w:type="gramEnd"/>
      <w:r w:rsidR="00CF0842">
        <w:rPr>
          <w:rFonts w:ascii="Times New Roman" w:hAnsi="Times New Roman" w:cs="Times New Roman"/>
          <w:snapToGrid w:val="0"/>
          <w:sz w:val="28"/>
          <w:szCs w:val="28"/>
        </w:rPr>
        <w:t xml:space="preserve"> С</w:t>
      </w:r>
      <w:r w:rsidR="00A33C8F">
        <w:rPr>
          <w:rFonts w:ascii="Times New Roman" w:hAnsi="Times New Roman" w:cs="Times New Roman"/>
          <w:snapToGrid w:val="0"/>
          <w:sz w:val="28"/>
          <w:szCs w:val="28"/>
        </w:rPr>
        <w:t xml:space="preserve">редняя оценка </w:t>
      </w:r>
      <w:r w:rsidR="00CF0842">
        <w:rPr>
          <w:rFonts w:ascii="Times New Roman" w:hAnsi="Times New Roman" w:cs="Times New Roman"/>
          <w:snapToGrid w:val="0"/>
          <w:sz w:val="28"/>
          <w:szCs w:val="28"/>
        </w:rPr>
        <w:t>составила</w:t>
      </w:r>
      <w:r w:rsidR="00A33C8F">
        <w:rPr>
          <w:rFonts w:ascii="Times New Roman" w:hAnsi="Times New Roman" w:cs="Times New Roman"/>
          <w:snapToGrid w:val="0"/>
          <w:sz w:val="28"/>
          <w:szCs w:val="28"/>
        </w:rPr>
        <w:t xml:space="preserve"> 90,0 баллов, максимальная – 100,0 баллов, минимальная – 66,7 баллов</w:t>
      </w:r>
      <w:r w:rsidR="00CF0842">
        <w:rPr>
          <w:rFonts w:ascii="Times New Roman" w:hAnsi="Times New Roman" w:cs="Times New Roman"/>
          <w:snapToGrid w:val="0"/>
          <w:sz w:val="28"/>
          <w:szCs w:val="28"/>
        </w:rPr>
        <w:t xml:space="preserve"> (отклонение от целевого значения –17%)</w:t>
      </w:r>
      <w:r w:rsidR="00A33C8F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E3591" w:rsidRDefault="004E3591" w:rsidP="00602E70">
      <w:pPr>
        <w:spacing w:after="0" w:line="24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По результатам проведенного мониторинга установлено</w:t>
      </w:r>
      <w:r w:rsidR="006A4ED3">
        <w:rPr>
          <w:rFonts w:ascii="Times New Roman" w:hAnsi="Times New Roman" w:cs="Times New Roman"/>
          <w:snapToGrid w:val="0"/>
          <w:sz w:val="28"/>
          <w:szCs w:val="28"/>
        </w:rPr>
        <w:t xml:space="preserve"> следующее</w:t>
      </w:r>
      <w:r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4E3591" w:rsidRDefault="004E3591" w:rsidP="00272E4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4E3591">
        <w:rPr>
          <w:rFonts w:ascii="Times New Roman" w:hAnsi="Times New Roman" w:cs="Times New Roman"/>
          <w:snapToGrid w:val="0"/>
          <w:sz w:val="28"/>
          <w:szCs w:val="28"/>
        </w:rPr>
        <w:t>уведомлени</w:t>
      </w:r>
      <w:r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4E3591">
        <w:rPr>
          <w:rFonts w:ascii="Times New Roman" w:hAnsi="Times New Roman" w:cs="Times New Roman"/>
          <w:snapToGrid w:val="0"/>
          <w:sz w:val="28"/>
          <w:szCs w:val="28"/>
        </w:rPr>
        <w:t xml:space="preserve"> о приостановлении операций по расходованию средств на лицевых счетах, открытых в органах Федерального казначейства, получателю средств городского бюджета в связи с нарушением процедур исполнения судебных актов, предусматривающих обращение взыскания на средства городского бюджета,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в отношении главных администраторов </w:t>
      </w:r>
      <w:r w:rsidR="00051E58">
        <w:rPr>
          <w:rFonts w:ascii="Times New Roman" w:hAnsi="Times New Roman" w:cs="Times New Roman"/>
          <w:snapToGrid w:val="0"/>
          <w:sz w:val="28"/>
          <w:szCs w:val="28"/>
        </w:rPr>
        <w:t xml:space="preserve">средств </w:t>
      </w:r>
      <w:r w:rsidR="00051E58">
        <w:rPr>
          <w:rFonts w:ascii="Times New Roman" w:hAnsi="Times New Roman" w:cs="Times New Roman"/>
          <w:snapToGrid w:val="0"/>
          <w:sz w:val="28"/>
          <w:szCs w:val="28"/>
        </w:rPr>
        <w:lastRenderedPageBreak/>
        <w:t>городского бюджета в</w:t>
      </w:r>
      <w:r w:rsidRPr="004E3591">
        <w:rPr>
          <w:rFonts w:ascii="Times New Roman" w:hAnsi="Times New Roman" w:cs="Times New Roman"/>
          <w:snapToGrid w:val="0"/>
          <w:sz w:val="28"/>
          <w:szCs w:val="28"/>
        </w:rPr>
        <w:t xml:space="preserve"> отчетном периоде органами Федерального казначейства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не направлялись</w:t>
      </w:r>
      <w:r w:rsidR="00A33C8F">
        <w:rPr>
          <w:rFonts w:ascii="Times New Roman" w:hAnsi="Times New Roman" w:cs="Times New Roman"/>
          <w:snapToGrid w:val="0"/>
          <w:sz w:val="28"/>
          <w:szCs w:val="28"/>
        </w:rPr>
        <w:t xml:space="preserve"> (</w:t>
      </w:r>
      <w:r w:rsidR="00A33C8F">
        <w:rPr>
          <w:rFonts w:ascii="Times New Roman" w:hAnsi="Times New Roman" w:cs="Times New Roman"/>
          <w:i/>
          <w:snapToGrid w:val="0"/>
          <w:sz w:val="28"/>
          <w:szCs w:val="28"/>
        </w:rPr>
        <w:t>позитивный фактор)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  <w:proofErr w:type="gramEnd"/>
    </w:p>
    <w:p w:rsidR="004E3591" w:rsidRDefault="004E3591" w:rsidP="00272E4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 судебные решения</w:t>
      </w:r>
      <w:r w:rsidRPr="004E3591">
        <w:rPr>
          <w:rFonts w:ascii="Times New Roman" w:hAnsi="Times New Roman" w:cs="Times New Roman"/>
          <w:snapToGrid w:val="0"/>
          <w:sz w:val="28"/>
          <w:szCs w:val="28"/>
        </w:rPr>
        <w:t xml:space="preserve"> по исковым требованиям о возмещении ущерба от незаконных действий или бездействия главн</w:t>
      </w:r>
      <w:r>
        <w:rPr>
          <w:rFonts w:ascii="Times New Roman" w:hAnsi="Times New Roman" w:cs="Times New Roman"/>
          <w:snapToGrid w:val="0"/>
          <w:sz w:val="28"/>
          <w:szCs w:val="28"/>
        </w:rPr>
        <w:t>ых</w:t>
      </w:r>
      <w:r w:rsidRPr="004E3591">
        <w:rPr>
          <w:rFonts w:ascii="Times New Roman" w:hAnsi="Times New Roman" w:cs="Times New Roman"/>
          <w:snapToGrid w:val="0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Pr="004E359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51E58">
        <w:rPr>
          <w:rFonts w:ascii="Times New Roman" w:hAnsi="Times New Roman" w:cs="Times New Roman"/>
          <w:snapToGrid w:val="0"/>
          <w:sz w:val="28"/>
          <w:szCs w:val="28"/>
        </w:rPr>
        <w:t xml:space="preserve">средств городского бюджета </w:t>
      </w:r>
      <w:r w:rsidRPr="004E3591">
        <w:rPr>
          <w:rFonts w:ascii="Times New Roman" w:hAnsi="Times New Roman" w:cs="Times New Roman"/>
          <w:snapToGrid w:val="0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napToGrid w:val="0"/>
          <w:sz w:val="28"/>
          <w:szCs w:val="28"/>
        </w:rPr>
        <w:t>их</w:t>
      </w:r>
      <w:r w:rsidRPr="004E3591">
        <w:rPr>
          <w:rFonts w:ascii="Times New Roman" w:hAnsi="Times New Roman" w:cs="Times New Roman"/>
          <w:snapToGrid w:val="0"/>
          <w:sz w:val="28"/>
          <w:szCs w:val="28"/>
        </w:rPr>
        <w:t xml:space="preserve"> должностных лиц</w:t>
      </w:r>
      <w:r w:rsidR="006B7F73">
        <w:rPr>
          <w:rFonts w:ascii="Times New Roman" w:hAnsi="Times New Roman" w:cs="Times New Roman"/>
          <w:snapToGrid w:val="0"/>
          <w:sz w:val="28"/>
          <w:szCs w:val="28"/>
        </w:rPr>
        <w:t xml:space="preserve"> в отчетном году не принимались</w:t>
      </w:r>
      <w:r w:rsidR="00A33C8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33C8F">
        <w:rPr>
          <w:rFonts w:ascii="Times New Roman" w:hAnsi="Times New Roman" w:cs="Times New Roman"/>
          <w:i/>
          <w:snapToGrid w:val="0"/>
          <w:sz w:val="28"/>
          <w:szCs w:val="28"/>
        </w:rPr>
        <w:t>(позитивный фактор)</w:t>
      </w:r>
      <w:r w:rsidR="006B7F73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2A6310" w:rsidRDefault="006B7F73" w:rsidP="00272E4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602E70">
        <w:rPr>
          <w:rFonts w:ascii="Times New Roman" w:hAnsi="Times New Roman" w:cs="Times New Roman"/>
          <w:snapToGrid w:val="0"/>
          <w:sz w:val="28"/>
          <w:szCs w:val="28"/>
        </w:rPr>
        <w:t>по данным, представленным главными администраторами</w:t>
      </w:r>
      <w:r w:rsidR="00051E58">
        <w:rPr>
          <w:rFonts w:ascii="Times New Roman" w:hAnsi="Times New Roman" w:cs="Times New Roman"/>
          <w:snapToGrid w:val="0"/>
          <w:sz w:val="28"/>
          <w:szCs w:val="28"/>
        </w:rPr>
        <w:t xml:space="preserve"> средств городского бюджета</w:t>
      </w:r>
      <w:r w:rsidR="00602E70">
        <w:rPr>
          <w:rFonts w:ascii="Times New Roman" w:hAnsi="Times New Roman" w:cs="Times New Roman"/>
          <w:snapToGrid w:val="0"/>
          <w:sz w:val="28"/>
          <w:szCs w:val="28"/>
        </w:rPr>
        <w:t>, работа по снижению суммы</w:t>
      </w:r>
      <w:r w:rsidRPr="006B7F73">
        <w:rPr>
          <w:rFonts w:ascii="Times New Roman" w:hAnsi="Times New Roman" w:cs="Times New Roman"/>
          <w:snapToGrid w:val="0"/>
          <w:sz w:val="28"/>
          <w:szCs w:val="28"/>
        </w:rPr>
        <w:t xml:space="preserve"> заявленных исковых требований</w:t>
      </w:r>
      <w:r w:rsidR="00602E7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B7F73">
        <w:rPr>
          <w:rFonts w:ascii="Times New Roman" w:hAnsi="Times New Roman" w:cs="Times New Roman"/>
          <w:snapToGrid w:val="0"/>
          <w:sz w:val="28"/>
          <w:szCs w:val="28"/>
        </w:rPr>
        <w:t xml:space="preserve">по исковым требованиям к главному администратору </w:t>
      </w:r>
      <w:r w:rsidR="00051E58">
        <w:rPr>
          <w:rFonts w:ascii="Times New Roman" w:hAnsi="Times New Roman" w:cs="Times New Roman"/>
          <w:snapToGrid w:val="0"/>
          <w:sz w:val="28"/>
          <w:szCs w:val="28"/>
        </w:rPr>
        <w:t xml:space="preserve">средств городского бюджета </w:t>
      </w:r>
      <w:r w:rsidRPr="006B7F73">
        <w:rPr>
          <w:rFonts w:ascii="Times New Roman" w:hAnsi="Times New Roman" w:cs="Times New Roman"/>
          <w:snapToGrid w:val="0"/>
          <w:sz w:val="28"/>
          <w:szCs w:val="28"/>
        </w:rPr>
        <w:t>или к подведомственным учреждениям, предъявленным по денежным обязательствам получателей бюджетных средств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02E70">
        <w:rPr>
          <w:rFonts w:ascii="Times New Roman" w:hAnsi="Times New Roman" w:cs="Times New Roman"/>
          <w:snapToGrid w:val="0"/>
          <w:sz w:val="28"/>
          <w:szCs w:val="28"/>
        </w:rPr>
        <w:t xml:space="preserve">главными администраторами </w:t>
      </w:r>
      <w:r w:rsidR="00051E58">
        <w:rPr>
          <w:rFonts w:ascii="Times New Roman" w:hAnsi="Times New Roman" w:cs="Times New Roman"/>
          <w:snapToGrid w:val="0"/>
          <w:sz w:val="28"/>
          <w:szCs w:val="28"/>
        </w:rPr>
        <w:t xml:space="preserve">средств городского бюджета </w:t>
      </w:r>
      <w:r w:rsidR="00602E70">
        <w:rPr>
          <w:rFonts w:ascii="Times New Roman" w:hAnsi="Times New Roman" w:cs="Times New Roman"/>
          <w:snapToGrid w:val="0"/>
          <w:sz w:val="28"/>
          <w:szCs w:val="28"/>
        </w:rPr>
        <w:t>проводилась недостаточно эффективно</w:t>
      </w:r>
      <w:r w:rsidR="00A33C8F">
        <w:rPr>
          <w:rFonts w:ascii="Times New Roman" w:hAnsi="Times New Roman" w:cs="Times New Roman"/>
          <w:snapToGrid w:val="0"/>
          <w:sz w:val="28"/>
          <w:szCs w:val="28"/>
        </w:rPr>
        <w:t xml:space="preserve"> (</w:t>
      </w:r>
      <w:r w:rsidR="00A33C8F">
        <w:rPr>
          <w:rFonts w:ascii="Times New Roman" w:hAnsi="Times New Roman" w:cs="Times New Roman"/>
          <w:i/>
          <w:snapToGrid w:val="0"/>
          <w:sz w:val="28"/>
          <w:szCs w:val="28"/>
        </w:rPr>
        <w:t>негативный фактор)</w:t>
      </w:r>
      <w:r w:rsidR="00602E70">
        <w:rPr>
          <w:rFonts w:ascii="Times New Roman" w:hAnsi="Times New Roman" w:cs="Times New Roman"/>
          <w:snapToGrid w:val="0"/>
          <w:sz w:val="28"/>
          <w:szCs w:val="28"/>
        </w:rPr>
        <w:t>.</w:t>
      </w:r>
      <w:proofErr w:type="gramEnd"/>
    </w:p>
    <w:p w:rsidR="004E3591" w:rsidRDefault="006A4ED3" w:rsidP="00C64C1D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ценка</w:t>
      </w:r>
      <w:r w:rsidR="00602E70" w:rsidRPr="004E359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качества </w:t>
      </w:r>
      <w:r w:rsidR="00292760">
        <w:rPr>
          <w:rFonts w:ascii="Times New Roman" w:hAnsi="Times New Roman" w:cs="Times New Roman"/>
          <w:b/>
          <w:snapToGrid w:val="0"/>
          <w:sz w:val="28"/>
          <w:szCs w:val="28"/>
        </w:rPr>
        <w:t>у</w:t>
      </w:r>
      <w:r w:rsidR="00602E70" w:rsidRPr="00602E70">
        <w:rPr>
          <w:rFonts w:ascii="Times New Roman" w:hAnsi="Times New Roman" w:cs="Times New Roman"/>
          <w:b/>
          <w:snapToGrid w:val="0"/>
          <w:sz w:val="28"/>
          <w:szCs w:val="28"/>
        </w:rPr>
        <w:t>правлени</w:t>
      </w:r>
      <w:r w:rsidR="00292760">
        <w:rPr>
          <w:rFonts w:ascii="Times New Roman" w:hAnsi="Times New Roman" w:cs="Times New Roman"/>
          <w:b/>
          <w:snapToGrid w:val="0"/>
          <w:sz w:val="28"/>
          <w:szCs w:val="28"/>
        </w:rPr>
        <w:t>я</w:t>
      </w:r>
      <w:r w:rsidR="00602E70" w:rsidRPr="00602E7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доходами бюджета</w:t>
      </w:r>
    </w:p>
    <w:p w:rsidR="004E3591" w:rsidRDefault="0062331A" w:rsidP="00272E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Показатели качества управления доходами рассчитываются </w:t>
      </w:r>
      <w:r w:rsidRPr="000B22B6">
        <w:rPr>
          <w:rFonts w:ascii="Times New Roman" w:hAnsi="Times New Roman" w:cs="Times New Roman"/>
          <w:bCs/>
          <w:sz w:val="28"/>
          <w:szCs w:val="28"/>
        </w:rPr>
        <w:t xml:space="preserve">исходя из сведений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(при наличии) </w:t>
      </w:r>
      <w:r w:rsidRPr="000B22B6">
        <w:rPr>
          <w:rFonts w:ascii="Times New Roman" w:hAnsi="Times New Roman" w:cs="Times New Roman"/>
          <w:bCs/>
          <w:sz w:val="28"/>
          <w:szCs w:val="28"/>
        </w:rPr>
        <w:t>по группам источников доходов 100 «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0B22B6">
        <w:rPr>
          <w:rFonts w:ascii="Times New Roman" w:hAnsi="Times New Roman" w:cs="Times New Roman"/>
          <w:bCs/>
          <w:sz w:val="28"/>
          <w:szCs w:val="28"/>
        </w:rPr>
        <w:t>алоговые и неналоговые д</w:t>
      </w:r>
      <w:r>
        <w:rPr>
          <w:rFonts w:ascii="Times New Roman" w:hAnsi="Times New Roman" w:cs="Times New Roman"/>
          <w:bCs/>
          <w:sz w:val="28"/>
          <w:szCs w:val="28"/>
        </w:rPr>
        <w:t>оходы», закрепленных за главными администраторами средств городского бюджета. Данному условию по итогам исполнения бюджета города за 2021 год удовлетворяют 5 из 10 главных администраторов</w:t>
      </w:r>
      <w:r w:rsidR="00051E58" w:rsidRPr="00051E5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51E58">
        <w:rPr>
          <w:rFonts w:ascii="Times New Roman" w:hAnsi="Times New Roman" w:cs="Times New Roman"/>
          <w:snapToGrid w:val="0"/>
          <w:sz w:val="28"/>
          <w:szCs w:val="28"/>
        </w:rPr>
        <w:t>средств городского бюджета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1E09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3C8F">
        <w:rPr>
          <w:rFonts w:ascii="Times New Roman" w:hAnsi="Times New Roman" w:cs="Times New Roman"/>
          <w:bCs/>
          <w:sz w:val="28"/>
          <w:szCs w:val="28"/>
        </w:rPr>
        <w:t>Средняя о</w:t>
      </w:r>
      <w:r w:rsidR="007F05D3">
        <w:rPr>
          <w:rFonts w:ascii="Times New Roman" w:hAnsi="Times New Roman" w:cs="Times New Roman"/>
          <w:bCs/>
          <w:sz w:val="28"/>
          <w:szCs w:val="28"/>
        </w:rPr>
        <w:t>ценка качества управления по доходам составил</w:t>
      </w:r>
      <w:r w:rsidR="00A33C8F">
        <w:rPr>
          <w:rFonts w:ascii="Times New Roman" w:hAnsi="Times New Roman" w:cs="Times New Roman"/>
          <w:bCs/>
          <w:sz w:val="28"/>
          <w:szCs w:val="28"/>
        </w:rPr>
        <w:t>а 79,9</w:t>
      </w:r>
      <w:r w:rsidR="007F05D3">
        <w:rPr>
          <w:rFonts w:ascii="Times New Roman" w:hAnsi="Times New Roman" w:cs="Times New Roman"/>
          <w:bCs/>
          <w:sz w:val="28"/>
          <w:szCs w:val="28"/>
        </w:rPr>
        <w:t xml:space="preserve"> баллов, максимальная оценка – 98</w:t>
      </w:r>
      <w:r w:rsidR="00A33C8F">
        <w:rPr>
          <w:rFonts w:ascii="Times New Roman" w:hAnsi="Times New Roman" w:cs="Times New Roman"/>
          <w:bCs/>
          <w:sz w:val="28"/>
          <w:szCs w:val="28"/>
        </w:rPr>
        <w:t>,2</w:t>
      </w:r>
      <w:r w:rsidR="007F05D3">
        <w:rPr>
          <w:rFonts w:ascii="Times New Roman" w:hAnsi="Times New Roman" w:cs="Times New Roman"/>
          <w:bCs/>
          <w:sz w:val="28"/>
          <w:szCs w:val="28"/>
        </w:rPr>
        <w:t xml:space="preserve"> баллов</w:t>
      </w:r>
      <w:r w:rsidR="00A33C8F">
        <w:rPr>
          <w:rFonts w:ascii="Times New Roman" w:hAnsi="Times New Roman" w:cs="Times New Roman"/>
          <w:bCs/>
          <w:sz w:val="28"/>
          <w:szCs w:val="28"/>
        </w:rPr>
        <w:t>, минимальная – 66,7 баллов (отклонение от целевого значения – 17%)</w:t>
      </w:r>
      <w:r w:rsidR="007F05D3">
        <w:rPr>
          <w:rFonts w:ascii="Times New Roman" w:hAnsi="Times New Roman" w:cs="Times New Roman"/>
          <w:bCs/>
          <w:sz w:val="28"/>
          <w:szCs w:val="28"/>
        </w:rPr>
        <w:t>.</w:t>
      </w:r>
    </w:p>
    <w:p w:rsidR="00B905AD" w:rsidRDefault="00B905AD" w:rsidP="00B90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К факторам, </w:t>
      </w:r>
      <w:r w:rsidRPr="00EB6134">
        <w:rPr>
          <w:rFonts w:ascii="Times New Roman" w:hAnsi="Times New Roman" w:cs="Times New Roman"/>
          <w:b/>
          <w:snapToGrid w:val="0"/>
          <w:sz w:val="28"/>
          <w:szCs w:val="28"/>
        </w:rPr>
        <w:t>положительно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характеризующим качество управления </w:t>
      </w:r>
      <w:r w:rsidR="003232A2">
        <w:rPr>
          <w:rFonts w:ascii="Times New Roman" w:hAnsi="Times New Roman" w:cs="Times New Roman"/>
          <w:snapToGrid w:val="0"/>
          <w:sz w:val="28"/>
          <w:szCs w:val="28"/>
        </w:rPr>
        <w:t>доходами</w:t>
      </w:r>
      <w:r w:rsidR="00167512">
        <w:rPr>
          <w:rFonts w:ascii="Times New Roman" w:hAnsi="Times New Roman" w:cs="Times New Roman"/>
          <w:snapToGrid w:val="0"/>
          <w:sz w:val="28"/>
          <w:szCs w:val="28"/>
        </w:rPr>
        <w:t xml:space="preserve"> в отчетном году</w:t>
      </w:r>
      <w:r>
        <w:rPr>
          <w:rFonts w:ascii="Times New Roman" w:hAnsi="Times New Roman" w:cs="Times New Roman"/>
          <w:snapToGrid w:val="0"/>
          <w:sz w:val="28"/>
          <w:szCs w:val="28"/>
        </w:rPr>
        <w:t>, следует отнести следующее:</w:t>
      </w:r>
    </w:p>
    <w:p w:rsidR="00B905AD" w:rsidRDefault="00B905AD" w:rsidP="00272E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E533B8">
        <w:rPr>
          <w:rFonts w:ascii="Times New Roman" w:hAnsi="Times New Roman" w:cs="Times New Roman"/>
          <w:bCs/>
          <w:sz w:val="28"/>
          <w:szCs w:val="28"/>
        </w:rPr>
        <w:t xml:space="preserve">высокое </w:t>
      </w:r>
      <w:r>
        <w:rPr>
          <w:rFonts w:ascii="Times New Roman" w:hAnsi="Times New Roman" w:cs="Times New Roman"/>
          <w:bCs/>
          <w:sz w:val="28"/>
          <w:szCs w:val="28"/>
        </w:rPr>
        <w:t>качество планирования доходов. Для достижения целевого значения неисполнение бюджета по доходам должно составлять менее 1</w:t>
      </w:r>
      <w:r w:rsidR="00051E58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%. По итогам проведения мониторинга среднее значение показателя составило менее 1%</w:t>
      </w:r>
      <w:r w:rsidR="00167512">
        <w:rPr>
          <w:rFonts w:ascii="Times New Roman" w:hAnsi="Times New Roman" w:cs="Times New Roman"/>
          <w:bCs/>
          <w:sz w:val="28"/>
          <w:szCs w:val="28"/>
        </w:rPr>
        <w:t xml:space="preserve">, существенных отклонений от среднего значения в разрезе главных администраторов </w:t>
      </w:r>
      <w:r w:rsidR="00051E58">
        <w:rPr>
          <w:rFonts w:ascii="Times New Roman" w:hAnsi="Times New Roman" w:cs="Times New Roman"/>
          <w:snapToGrid w:val="0"/>
          <w:sz w:val="28"/>
          <w:szCs w:val="28"/>
        </w:rPr>
        <w:t xml:space="preserve">средств городского бюджета </w:t>
      </w:r>
      <w:r w:rsidR="00167512">
        <w:rPr>
          <w:rFonts w:ascii="Times New Roman" w:hAnsi="Times New Roman" w:cs="Times New Roman"/>
          <w:bCs/>
          <w:sz w:val="28"/>
          <w:szCs w:val="28"/>
        </w:rPr>
        <w:t>не установлено</w:t>
      </w:r>
      <w:r w:rsidR="00051E58">
        <w:rPr>
          <w:rFonts w:ascii="Times New Roman" w:hAnsi="Times New Roman" w:cs="Times New Roman"/>
          <w:bCs/>
          <w:sz w:val="28"/>
          <w:szCs w:val="28"/>
        </w:rPr>
        <w:t xml:space="preserve">. Средняя оценка по показателю </w:t>
      </w:r>
      <w:r w:rsidR="003B3CA6">
        <w:rPr>
          <w:rFonts w:ascii="Times New Roman" w:hAnsi="Times New Roman" w:cs="Times New Roman"/>
          <w:bCs/>
          <w:sz w:val="28"/>
          <w:szCs w:val="28"/>
        </w:rPr>
        <w:t xml:space="preserve">«Качество планирования поступлений доходов» </w:t>
      </w:r>
      <w:r w:rsidR="00051E58">
        <w:rPr>
          <w:rFonts w:ascii="Times New Roman" w:hAnsi="Times New Roman" w:cs="Times New Roman"/>
          <w:bCs/>
          <w:sz w:val="28"/>
          <w:szCs w:val="28"/>
        </w:rPr>
        <w:t>– 100 баллов</w:t>
      </w:r>
      <w:r w:rsidR="00167512">
        <w:rPr>
          <w:rFonts w:ascii="Times New Roman" w:hAnsi="Times New Roman" w:cs="Times New Roman"/>
          <w:bCs/>
          <w:sz w:val="28"/>
          <w:szCs w:val="28"/>
        </w:rPr>
        <w:t>;</w:t>
      </w:r>
    </w:p>
    <w:p w:rsidR="00167512" w:rsidRDefault="00167512" w:rsidP="001675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невысокая д</w:t>
      </w:r>
      <w:r w:rsidRPr="00167512">
        <w:rPr>
          <w:rFonts w:ascii="Times New Roman" w:hAnsi="Times New Roman" w:cs="Times New Roman"/>
          <w:bCs/>
          <w:sz w:val="28"/>
          <w:szCs w:val="28"/>
        </w:rPr>
        <w:t>оля возвратов (возмещений) из городского бюджета излишне уплаченных (взысканных) сумм</w:t>
      </w:r>
      <w:r>
        <w:rPr>
          <w:rFonts w:ascii="Times New Roman" w:hAnsi="Times New Roman" w:cs="Times New Roman"/>
          <w:bCs/>
          <w:sz w:val="28"/>
          <w:szCs w:val="28"/>
        </w:rPr>
        <w:t>. Предельн</w:t>
      </w:r>
      <w:r w:rsidR="00051E58">
        <w:rPr>
          <w:rFonts w:ascii="Times New Roman" w:hAnsi="Times New Roman" w:cs="Times New Roman"/>
          <w:bCs/>
          <w:sz w:val="28"/>
          <w:szCs w:val="28"/>
        </w:rPr>
        <w:t>ое значение показателя – менее 5</w:t>
      </w:r>
      <w:r>
        <w:rPr>
          <w:rFonts w:ascii="Times New Roman" w:hAnsi="Times New Roman" w:cs="Times New Roman"/>
          <w:bCs/>
          <w:sz w:val="28"/>
          <w:szCs w:val="28"/>
        </w:rPr>
        <w:t>%</w:t>
      </w:r>
      <w:r w:rsidR="003232A2">
        <w:rPr>
          <w:rFonts w:ascii="Times New Roman" w:hAnsi="Times New Roman" w:cs="Times New Roman"/>
          <w:bCs/>
          <w:sz w:val="28"/>
          <w:szCs w:val="28"/>
        </w:rPr>
        <w:t xml:space="preserve"> кассового исполнения по доходам в отчетном периоде</w:t>
      </w:r>
      <w:r>
        <w:rPr>
          <w:rFonts w:ascii="Times New Roman" w:hAnsi="Times New Roman" w:cs="Times New Roman"/>
          <w:bCs/>
          <w:sz w:val="28"/>
          <w:szCs w:val="28"/>
        </w:rPr>
        <w:t xml:space="preserve">. Средний процент возвратов </w:t>
      </w:r>
      <w:r w:rsidRPr="00167512">
        <w:rPr>
          <w:rFonts w:ascii="Times New Roman" w:hAnsi="Times New Roman" w:cs="Times New Roman"/>
          <w:bCs/>
          <w:sz w:val="28"/>
          <w:szCs w:val="28"/>
        </w:rPr>
        <w:t>(возмещений) из городского бюджета излишне уплаченных (взысканных) сумм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итогам анализа составил менее 1%, существенных отклонений от среднего значения в разрезе главных администраторов </w:t>
      </w:r>
      <w:r w:rsidR="003E1B71">
        <w:rPr>
          <w:rFonts w:ascii="Times New Roman" w:hAnsi="Times New Roman" w:cs="Times New Roman"/>
          <w:snapToGrid w:val="0"/>
          <w:sz w:val="28"/>
          <w:szCs w:val="28"/>
        </w:rPr>
        <w:t xml:space="preserve">средств городского бюджета </w:t>
      </w:r>
      <w:r>
        <w:rPr>
          <w:rFonts w:ascii="Times New Roman" w:hAnsi="Times New Roman" w:cs="Times New Roman"/>
          <w:bCs/>
          <w:sz w:val="28"/>
          <w:szCs w:val="28"/>
        </w:rPr>
        <w:t>не установлено</w:t>
      </w:r>
      <w:r w:rsidR="00051E58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051E58">
        <w:rPr>
          <w:rFonts w:ascii="Times New Roman" w:hAnsi="Times New Roman" w:cs="Times New Roman"/>
          <w:bCs/>
          <w:sz w:val="28"/>
          <w:szCs w:val="28"/>
        </w:rPr>
        <w:t xml:space="preserve">Средняя оценка </w:t>
      </w:r>
      <w:r w:rsidR="003B3CA6">
        <w:rPr>
          <w:rFonts w:ascii="Times New Roman" w:hAnsi="Times New Roman" w:cs="Times New Roman"/>
          <w:bCs/>
          <w:sz w:val="28"/>
          <w:szCs w:val="28"/>
        </w:rPr>
        <w:t>по показателю «Д</w:t>
      </w:r>
      <w:r w:rsidR="003B3CA6" w:rsidRPr="00167512">
        <w:rPr>
          <w:rFonts w:ascii="Times New Roman" w:hAnsi="Times New Roman" w:cs="Times New Roman"/>
          <w:bCs/>
          <w:sz w:val="28"/>
          <w:szCs w:val="28"/>
        </w:rPr>
        <w:t>оля возвратов (возмещений) из городского бюджета излишне уплаченных (взысканных) сумм</w:t>
      </w:r>
      <w:r w:rsidR="003B3CA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051E58">
        <w:rPr>
          <w:rFonts w:ascii="Times New Roman" w:hAnsi="Times New Roman" w:cs="Times New Roman"/>
          <w:bCs/>
          <w:sz w:val="28"/>
          <w:szCs w:val="28"/>
        </w:rPr>
        <w:t>– 98,7 баллов, максимальная – 100,0 баллов, минимальная – 93,3 балла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167512" w:rsidRDefault="00167512" w:rsidP="001675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невысокая доля </w:t>
      </w:r>
      <w:r w:rsidRPr="00167512">
        <w:rPr>
          <w:rFonts w:ascii="Times New Roman" w:hAnsi="Times New Roman" w:cs="Times New Roman"/>
          <w:bCs/>
          <w:sz w:val="28"/>
          <w:szCs w:val="28"/>
        </w:rPr>
        <w:t>невыясненных поступлений</w:t>
      </w:r>
      <w:r>
        <w:rPr>
          <w:rFonts w:ascii="Times New Roman" w:hAnsi="Times New Roman" w:cs="Times New Roman"/>
          <w:bCs/>
          <w:sz w:val="28"/>
          <w:szCs w:val="28"/>
        </w:rPr>
        <w:t>. Предельн</w:t>
      </w:r>
      <w:r w:rsidR="00051E58">
        <w:rPr>
          <w:rFonts w:ascii="Times New Roman" w:hAnsi="Times New Roman" w:cs="Times New Roman"/>
          <w:bCs/>
          <w:sz w:val="28"/>
          <w:szCs w:val="28"/>
        </w:rPr>
        <w:t>ое значение показателя – менее 3</w:t>
      </w:r>
      <w:r>
        <w:rPr>
          <w:rFonts w:ascii="Times New Roman" w:hAnsi="Times New Roman" w:cs="Times New Roman"/>
          <w:bCs/>
          <w:sz w:val="28"/>
          <w:szCs w:val="28"/>
        </w:rPr>
        <w:t>%. Средний процент невыясненных поступлений по ито</w:t>
      </w:r>
      <w:r w:rsidR="007F05D3">
        <w:rPr>
          <w:rFonts w:ascii="Times New Roman" w:hAnsi="Times New Roman" w:cs="Times New Roman"/>
          <w:bCs/>
          <w:sz w:val="28"/>
          <w:szCs w:val="28"/>
        </w:rPr>
        <w:t>гам анализа составил – менее 1%</w:t>
      </w:r>
      <w:r w:rsidR="003232A2">
        <w:rPr>
          <w:rFonts w:ascii="Times New Roman" w:hAnsi="Times New Roman" w:cs="Times New Roman"/>
          <w:bCs/>
          <w:sz w:val="28"/>
          <w:szCs w:val="28"/>
        </w:rPr>
        <w:t xml:space="preserve"> кассового исполнения по доходам в отчетном периоде</w:t>
      </w:r>
      <w:r w:rsidR="007F05D3">
        <w:rPr>
          <w:rFonts w:ascii="Times New Roman" w:hAnsi="Times New Roman" w:cs="Times New Roman"/>
          <w:bCs/>
          <w:sz w:val="28"/>
          <w:szCs w:val="28"/>
        </w:rPr>
        <w:t xml:space="preserve">. Однако нельзя не отметить, что </w:t>
      </w:r>
      <w:r w:rsidR="006D64F5">
        <w:rPr>
          <w:rFonts w:ascii="Times New Roman" w:hAnsi="Times New Roman" w:cs="Times New Roman"/>
          <w:bCs/>
          <w:sz w:val="28"/>
          <w:szCs w:val="28"/>
        </w:rPr>
        <w:t xml:space="preserve">в администрации города </w:t>
      </w:r>
      <w:r w:rsidR="006D64F5">
        <w:rPr>
          <w:rFonts w:ascii="Times New Roman" w:hAnsi="Times New Roman" w:cs="Times New Roman"/>
          <w:bCs/>
          <w:sz w:val="28"/>
          <w:szCs w:val="28"/>
        </w:rPr>
        <w:lastRenderedPageBreak/>
        <w:t>доля уточненных невыясненных платежей составила 86% кассового исполнения по доходам</w:t>
      </w:r>
      <w:r w:rsidR="003E1B71">
        <w:rPr>
          <w:rFonts w:ascii="Times New Roman" w:hAnsi="Times New Roman" w:cs="Times New Roman"/>
          <w:bCs/>
          <w:sz w:val="28"/>
          <w:szCs w:val="28"/>
        </w:rPr>
        <w:t xml:space="preserve">. Средняя оценка </w:t>
      </w:r>
      <w:r w:rsidR="003B3CA6">
        <w:rPr>
          <w:rFonts w:ascii="Times New Roman" w:hAnsi="Times New Roman" w:cs="Times New Roman"/>
          <w:bCs/>
          <w:sz w:val="28"/>
          <w:szCs w:val="28"/>
        </w:rPr>
        <w:t xml:space="preserve">по показателю «Доля уточненных невыясненных поступлений» </w:t>
      </w:r>
      <w:r w:rsidR="003E1B71">
        <w:rPr>
          <w:rFonts w:ascii="Times New Roman" w:hAnsi="Times New Roman" w:cs="Times New Roman"/>
          <w:bCs/>
          <w:sz w:val="28"/>
          <w:szCs w:val="28"/>
        </w:rPr>
        <w:t>– 80,0 баллов, максимальная  – 100,0 баллов, минимальная – 0,0 баллов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67512" w:rsidRDefault="00167512" w:rsidP="00272E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наличие утвержденной методики прогнозирования поступлений доходов в бюджет. Все главные администратора</w:t>
      </w:r>
      <w:r w:rsidR="003E1B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1B71">
        <w:rPr>
          <w:rFonts w:ascii="Times New Roman" w:hAnsi="Times New Roman" w:cs="Times New Roman"/>
          <w:snapToGrid w:val="0"/>
          <w:sz w:val="28"/>
          <w:szCs w:val="28"/>
        </w:rPr>
        <w:t>средств городского бюджета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подлежащие мониторингу </w:t>
      </w:r>
      <w:r w:rsidRPr="00167512">
        <w:rPr>
          <w:rFonts w:ascii="Times New Roman" w:hAnsi="Times New Roman" w:cs="Times New Roman"/>
          <w:bCs/>
          <w:sz w:val="28"/>
          <w:szCs w:val="28"/>
        </w:rPr>
        <w:t>качества финансового менеджмента по доходам</w:t>
      </w:r>
      <w:r w:rsidR="003232A2">
        <w:rPr>
          <w:rFonts w:ascii="Times New Roman" w:hAnsi="Times New Roman" w:cs="Times New Roman"/>
          <w:bCs/>
          <w:sz w:val="28"/>
          <w:szCs w:val="28"/>
        </w:rPr>
        <w:t>,</w:t>
      </w:r>
      <w:r w:rsidRPr="00167512">
        <w:rPr>
          <w:rFonts w:ascii="Times New Roman" w:hAnsi="Times New Roman" w:cs="Times New Roman"/>
          <w:bCs/>
          <w:sz w:val="28"/>
          <w:szCs w:val="28"/>
        </w:rPr>
        <w:t xml:space="preserve"> представили методики </w:t>
      </w:r>
      <w:r>
        <w:rPr>
          <w:rFonts w:ascii="Times New Roman" w:hAnsi="Times New Roman" w:cs="Times New Roman"/>
          <w:bCs/>
          <w:sz w:val="28"/>
          <w:szCs w:val="28"/>
        </w:rPr>
        <w:t>прогнозирования поступлений доходов в бюджет, утвержденные в установленном порядке</w:t>
      </w:r>
      <w:r w:rsidR="003E1B71">
        <w:rPr>
          <w:rFonts w:ascii="Times New Roman" w:hAnsi="Times New Roman" w:cs="Times New Roman"/>
          <w:bCs/>
          <w:sz w:val="28"/>
          <w:szCs w:val="28"/>
        </w:rPr>
        <w:t xml:space="preserve">. Средняя оценка по показателю </w:t>
      </w:r>
      <w:r w:rsidR="003B3CA6">
        <w:rPr>
          <w:rFonts w:ascii="Times New Roman" w:hAnsi="Times New Roman" w:cs="Times New Roman"/>
          <w:bCs/>
          <w:sz w:val="28"/>
          <w:szCs w:val="28"/>
        </w:rPr>
        <w:t xml:space="preserve">«Наличие утвержденной методики прогнозирования поступлений доходов в бюджет» </w:t>
      </w:r>
      <w:r w:rsidR="003E1B71">
        <w:rPr>
          <w:rFonts w:ascii="Times New Roman" w:hAnsi="Times New Roman" w:cs="Times New Roman"/>
          <w:bCs/>
          <w:sz w:val="28"/>
          <w:szCs w:val="28"/>
        </w:rPr>
        <w:t>– 100,0 баллов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2331A" w:rsidRDefault="00167512" w:rsidP="00272E4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К факторам,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негативно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характеризующим качество управления </w:t>
      </w:r>
      <w:r w:rsidR="003232A2">
        <w:rPr>
          <w:rFonts w:ascii="Times New Roman" w:hAnsi="Times New Roman" w:cs="Times New Roman"/>
          <w:snapToGrid w:val="0"/>
          <w:sz w:val="28"/>
          <w:szCs w:val="28"/>
        </w:rPr>
        <w:t>доходами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 отчетном году, следует отнести следующее:</w:t>
      </w:r>
    </w:p>
    <w:p w:rsidR="007F05D3" w:rsidRDefault="007F05D3" w:rsidP="00272E4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1) </w:t>
      </w:r>
      <w:r w:rsidRPr="007F05D3">
        <w:rPr>
          <w:rFonts w:ascii="Times New Roman" w:hAnsi="Times New Roman" w:cs="Times New Roman"/>
          <w:snapToGrid w:val="0"/>
          <w:sz w:val="28"/>
          <w:szCs w:val="28"/>
        </w:rPr>
        <w:t xml:space="preserve">рост просроченной дебиторской задолженности по платежам в бюджет по сравнению с предыдущим отчетным периодом на </w:t>
      </w:r>
      <w:r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3E1B71">
        <w:rPr>
          <w:rFonts w:ascii="Times New Roman" w:hAnsi="Times New Roman" w:cs="Times New Roman"/>
          <w:snapToGrid w:val="0"/>
          <w:sz w:val="28"/>
          <w:szCs w:val="28"/>
        </w:rPr>
        <w:t>5</w:t>
      </w:r>
      <w:r>
        <w:rPr>
          <w:rFonts w:ascii="Times New Roman" w:hAnsi="Times New Roman" w:cs="Times New Roman"/>
          <w:snapToGrid w:val="0"/>
          <w:sz w:val="28"/>
          <w:szCs w:val="28"/>
        </w:rPr>
        <w:t>%</w:t>
      </w:r>
      <w:r w:rsidR="003E1B71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E533B8">
        <w:rPr>
          <w:rFonts w:ascii="Times New Roman" w:hAnsi="Times New Roman" w:cs="Times New Roman"/>
          <w:snapToGrid w:val="0"/>
          <w:sz w:val="28"/>
          <w:szCs w:val="28"/>
        </w:rPr>
        <w:t>Для достижения заданного целевого значения оценки качества финансового менеджмента рост просроч</w:t>
      </w:r>
      <w:r w:rsidR="00D763C6">
        <w:rPr>
          <w:rFonts w:ascii="Times New Roman" w:hAnsi="Times New Roman" w:cs="Times New Roman"/>
          <w:snapToGrid w:val="0"/>
          <w:sz w:val="28"/>
          <w:szCs w:val="28"/>
        </w:rPr>
        <w:t xml:space="preserve">енной дебиторской задолженности относительного предыдущего года недопустим. </w:t>
      </w:r>
      <w:r w:rsidR="003E1B71">
        <w:rPr>
          <w:rFonts w:ascii="Times New Roman" w:hAnsi="Times New Roman" w:cs="Times New Roman"/>
          <w:snapToGrid w:val="0"/>
          <w:sz w:val="28"/>
          <w:szCs w:val="28"/>
        </w:rPr>
        <w:t>Средняя оценка по показателю «Качество управления просроченной дебиторской задолженностью по платежам в бюджет» – 60,0 баллов (отклонение от целевого значения – 25%), максимальная – 100,0 баллов, минимальная – 0,0 баллов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3E1B71" w:rsidRDefault="006D64F5" w:rsidP="00272E4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 xml:space="preserve">2) высокий уровень </w:t>
      </w:r>
      <w:r w:rsidRPr="006D64F5">
        <w:rPr>
          <w:rFonts w:ascii="Times New Roman" w:hAnsi="Times New Roman" w:cs="Times New Roman"/>
          <w:snapToGrid w:val="0"/>
          <w:sz w:val="28"/>
          <w:szCs w:val="28"/>
        </w:rPr>
        <w:t>дебиторской задолженности по доходам</w:t>
      </w:r>
      <w:r w:rsidR="003E1B71">
        <w:rPr>
          <w:rFonts w:ascii="Times New Roman" w:hAnsi="Times New Roman" w:cs="Times New Roman"/>
          <w:snapToGrid w:val="0"/>
          <w:sz w:val="28"/>
          <w:szCs w:val="28"/>
        </w:rPr>
        <w:t xml:space="preserve"> по состоянию</w:t>
      </w:r>
      <w:r w:rsidRPr="006D64F5">
        <w:rPr>
          <w:rFonts w:ascii="Times New Roman" w:hAnsi="Times New Roman" w:cs="Times New Roman"/>
          <w:snapToGrid w:val="0"/>
          <w:sz w:val="28"/>
          <w:szCs w:val="28"/>
        </w:rPr>
        <w:t xml:space="preserve"> на 31.12.202</w:t>
      </w:r>
      <w:r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6D64F5">
        <w:rPr>
          <w:rFonts w:ascii="Times New Roman" w:hAnsi="Times New Roman" w:cs="Times New Roman"/>
          <w:snapToGrid w:val="0"/>
          <w:sz w:val="28"/>
          <w:szCs w:val="28"/>
        </w:rPr>
        <w:t xml:space="preserve">, объем которой </w:t>
      </w:r>
      <w:r>
        <w:rPr>
          <w:rFonts w:ascii="Times New Roman" w:hAnsi="Times New Roman" w:cs="Times New Roman"/>
          <w:snapToGrid w:val="0"/>
          <w:sz w:val="28"/>
          <w:szCs w:val="28"/>
        </w:rPr>
        <w:t>достигает в среднем 38</w:t>
      </w:r>
      <w:r w:rsidRPr="006D64F5">
        <w:rPr>
          <w:rFonts w:ascii="Times New Roman" w:hAnsi="Times New Roman" w:cs="Times New Roman"/>
          <w:snapToGrid w:val="0"/>
          <w:sz w:val="28"/>
          <w:szCs w:val="28"/>
        </w:rPr>
        <w:t>% кассового поступления доходов</w:t>
      </w:r>
      <w:r w:rsidR="003E1B71">
        <w:rPr>
          <w:rFonts w:ascii="Times New Roman" w:hAnsi="Times New Roman" w:cs="Times New Roman"/>
          <w:snapToGrid w:val="0"/>
          <w:sz w:val="28"/>
          <w:szCs w:val="28"/>
        </w:rPr>
        <w:t xml:space="preserve"> (</w:t>
      </w:r>
      <w:r w:rsidR="00D763C6">
        <w:rPr>
          <w:rFonts w:ascii="Times New Roman" w:hAnsi="Times New Roman" w:cs="Times New Roman"/>
          <w:snapToGrid w:val="0"/>
          <w:sz w:val="28"/>
          <w:szCs w:val="28"/>
        </w:rPr>
        <w:t xml:space="preserve">для достижения заданного целевого значения оценки качества финансового менеджмента </w:t>
      </w:r>
      <w:r w:rsidR="003E1B71">
        <w:rPr>
          <w:rFonts w:ascii="Times New Roman" w:hAnsi="Times New Roman" w:cs="Times New Roman"/>
          <w:snapToGrid w:val="0"/>
          <w:sz w:val="28"/>
          <w:szCs w:val="28"/>
        </w:rPr>
        <w:t xml:space="preserve">предельное значение </w:t>
      </w:r>
      <w:r w:rsidR="00D763C6">
        <w:rPr>
          <w:rFonts w:ascii="Times New Roman" w:hAnsi="Times New Roman" w:cs="Times New Roman"/>
          <w:snapToGrid w:val="0"/>
          <w:sz w:val="28"/>
          <w:szCs w:val="28"/>
        </w:rPr>
        <w:t xml:space="preserve">показателя </w:t>
      </w:r>
      <w:r w:rsidR="003E1B71">
        <w:rPr>
          <w:rFonts w:ascii="Times New Roman" w:hAnsi="Times New Roman" w:cs="Times New Roman"/>
          <w:snapToGrid w:val="0"/>
          <w:sz w:val="28"/>
          <w:szCs w:val="28"/>
        </w:rPr>
        <w:t>– не более 5%)</w:t>
      </w:r>
      <w:r w:rsidRPr="006D64F5">
        <w:rPr>
          <w:rFonts w:ascii="Times New Roman" w:hAnsi="Times New Roman" w:cs="Times New Roman"/>
          <w:snapToGrid w:val="0"/>
          <w:sz w:val="28"/>
          <w:szCs w:val="28"/>
        </w:rPr>
        <w:t>, что говорит о накоплении значительного объема денежных средств, не перечисленных в доход бюджета по установленным основаниям в течение отчетного периода.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E1B71">
        <w:rPr>
          <w:rFonts w:ascii="Times New Roman" w:hAnsi="Times New Roman" w:cs="Times New Roman"/>
          <w:snapToGrid w:val="0"/>
          <w:sz w:val="28"/>
          <w:szCs w:val="28"/>
        </w:rPr>
        <w:t xml:space="preserve">Средняя оценка по показателю </w:t>
      </w:r>
      <w:r w:rsidR="003B3CA6">
        <w:rPr>
          <w:rFonts w:ascii="Times New Roman" w:hAnsi="Times New Roman" w:cs="Times New Roman"/>
          <w:snapToGrid w:val="0"/>
          <w:sz w:val="28"/>
          <w:szCs w:val="28"/>
        </w:rPr>
        <w:t xml:space="preserve">«Эффективность управления дебиторской задолженностью по доходам» </w:t>
      </w:r>
      <w:r w:rsidR="003E1B71">
        <w:rPr>
          <w:rFonts w:ascii="Times New Roman" w:hAnsi="Times New Roman" w:cs="Times New Roman"/>
          <w:snapToGrid w:val="0"/>
          <w:sz w:val="28"/>
          <w:szCs w:val="28"/>
        </w:rPr>
        <w:t xml:space="preserve">– 40,8 баллов (отклонение от целевого значения </w:t>
      </w:r>
      <w:r w:rsidR="003B3CA6">
        <w:rPr>
          <w:rFonts w:ascii="Times New Roman" w:hAnsi="Times New Roman" w:cs="Times New Roman"/>
          <w:snapToGrid w:val="0"/>
          <w:sz w:val="28"/>
          <w:szCs w:val="28"/>
        </w:rPr>
        <w:t>49%), максимальная – 96,0 баллов, минимальная – 0,0 баллов.</w:t>
      </w:r>
    </w:p>
    <w:p w:rsidR="00167512" w:rsidRDefault="006D64F5" w:rsidP="00272E4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Таким образом, </w:t>
      </w:r>
      <w:r w:rsidR="007F05D3" w:rsidRPr="007F05D3">
        <w:rPr>
          <w:rFonts w:ascii="Times New Roman" w:hAnsi="Times New Roman" w:cs="Times New Roman"/>
          <w:snapToGrid w:val="0"/>
          <w:sz w:val="28"/>
          <w:szCs w:val="28"/>
        </w:rPr>
        <w:t xml:space="preserve">главным администраторам </w:t>
      </w:r>
      <w:r w:rsidR="003E1B71">
        <w:rPr>
          <w:rFonts w:ascii="Times New Roman" w:hAnsi="Times New Roman" w:cs="Times New Roman"/>
          <w:snapToGrid w:val="0"/>
          <w:sz w:val="28"/>
          <w:szCs w:val="28"/>
        </w:rPr>
        <w:t xml:space="preserve">средств городского бюджета </w:t>
      </w:r>
      <w:r w:rsidR="007F05D3" w:rsidRPr="007F05D3">
        <w:rPr>
          <w:rFonts w:ascii="Times New Roman" w:hAnsi="Times New Roman" w:cs="Times New Roman"/>
          <w:snapToGrid w:val="0"/>
          <w:sz w:val="28"/>
          <w:szCs w:val="28"/>
        </w:rPr>
        <w:t xml:space="preserve">необходимо обратить особое внимание на повышение качества </w:t>
      </w:r>
      <w:proofErr w:type="gramStart"/>
      <w:r w:rsidR="007F05D3" w:rsidRPr="007F05D3">
        <w:rPr>
          <w:rFonts w:ascii="Times New Roman" w:hAnsi="Times New Roman" w:cs="Times New Roman"/>
          <w:snapToGrid w:val="0"/>
          <w:sz w:val="28"/>
          <w:szCs w:val="28"/>
        </w:rPr>
        <w:t>контроля за</w:t>
      </w:r>
      <w:proofErr w:type="gramEnd"/>
      <w:r w:rsidR="007F05D3" w:rsidRPr="007F05D3">
        <w:rPr>
          <w:rFonts w:ascii="Times New Roman" w:hAnsi="Times New Roman" w:cs="Times New Roman"/>
          <w:snapToGrid w:val="0"/>
          <w:sz w:val="28"/>
          <w:szCs w:val="28"/>
        </w:rPr>
        <w:t xml:space="preserve"> процедурами, связанными с управлением дебиторской задолженностью по платежам в бюджет.</w:t>
      </w:r>
    </w:p>
    <w:p w:rsidR="00167512" w:rsidRPr="006D64F5" w:rsidRDefault="006D64F5" w:rsidP="006D64F5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Оценка</w:t>
      </w:r>
      <w:r w:rsidRPr="006D64F5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качества </w:t>
      </w:r>
      <w:r w:rsidR="00292760">
        <w:rPr>
          <w:rFonts w:ascii="Times New Roman" w:hAnsi="Times New Roman" w:cs="Times New Roman"/>
          <w:b/>
          <w:snapToGrid w:val="0"/>
          <w:sz w:val="28"/>
          <w:szCs w:val="28"/>
        </w:rPr>
        <w:t>у</w:t>
      </w:r>
      <w:r w:rsidRPr="006D64F5">
        <w:rPr>
          <w:rFonts w:ascii="Times New Roman" w:hAnsi="Times New Roman" w:cs="Times New Roman"/>
          <w:b/>
          <w:snapToGrid w:val="0"/>
          <w:sz w:val="28"/>
          <w:szCs w:val="28"/>
        </w:rPr>
        <w:t>чет и составлени</w:t>
      </w:r>
      <w:r w:rsidR="00292760">
        <w:rPr>
          <w:rFonts w:ascii="Times New Roman" w:hAnsi="Times New Roman" w:cs="Times New Roman"/>
          <w:b/>
          <w:snapToGrid w:val="0"/>
          <w:sz w:val="28"/>
          <w:szCs w:val="28"/>
        </w:rPr>
        <w:t>я</w:t>
      </w:r>
      <w:r w:rsidR="00D763C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бюджетной отчетности</w:t>
      </w:r>
    </w:p>
    <w:p w:rsidR="00D763C6" w:rsidRDefault="009228EC" w:rsidP="00922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4F5">
        <w:rPr>
          <w:rFonts w:ascii="Times New Roman" w:hAnsi="Times New Roman" w:cs="Times New Roman"/>
          <w:snapToGrid w:val="0"/>
          <w:sz w:val="28"/>
          <w:szCs w:val="28"/>
        </w:rPr>
        <w:t xml:space="preserve">По показателям </w:t>
      </w:r>
      <w:r w:rsidRPr="006D64F5">
        <w:rPr>
          <w:rFonts w:ascii="Times New Roman" w:hAnsi="Times New Roman" w:cs="Times New Roman"/>
          <w:sz w:val="28"/>
          <w:szCs w:val="28"/>
        </w:rPr>
        <w:t xml:space="preserve">качества ведения учета и составления бюджетной отчетности все главные администраторы </w:t>
      </w:r>
      <w:r w:rsidR="00EC5B4C">
        <w:rPr>
          <w:rFonts w:ascii="Times New Roman" w:hAnsi="Times New Roman" w:cs="Times New Roman"/>
          <w:sz w:val="28"/>
          <w:szCs w:val="28"/>
        </w:rPr>
        <w:t xml:space="preserve">средств городского бюджета </w:t>
      </w:r>
      <w:r w:rsidRPr="006D64F5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="002F648A" w:rsidRPr="006D64F5">
        <w:rPr>
          <w:rFonts w:ascii="Times New Roman" w:hAnsi="Times New Roman" w:cs="Times New Roman"/>
          <w:sz w:val="28"/>
          <w:szCs w:val="28"/>
        </w:rPr>
        <w:t xml:space="preserve">максимальную оценку </w:t>
      </w:r>
      <w:r w:rsidRPr="006D64F5">
        <w:rPr>
          <w:rFonts w:ascii="Times New Roman" w:hAnsi="Times New Roman" w:cs="Times New Roman"/>
          <w:sz w:val="28"/>
          <w:szCs w:val="28"/>
        </w:rPr>
        <w:t>100</w:t>
      </w:r>
      <w:r w:rsidR="006D64F5">
        <w:rPr>
          <w:rFonts w:ascii="Times New Roman" w:hAnsi="Times New Roman" w:cs="Times New Roman"/>
          <w:sz w:val="28"/>
          <w:szCs w:val="28"/>
        </w:rPr>
        <w:t xml:space="preserve"> баллов</w:t>
      </w:r>
      <w:r w:rsidRPr="006D64F5">
        <w:rPr>
          <w:rFonts w:ascii="Times New Roman" w:hAnsi="Times New Roman" w:cs="Times New Roman"/>
          <w:sz w:val="28"/>
          <w:szCs w:val="28"/>
        </w:rPr>
        <w:t xml:space="preserve"> ввиду</w:t>
      </w:r>
      <w:r w:rsidR="00D763C6">
        <w:rPr>
          <w:rFonts w:ascii="Times New Roman" w:hAnsi="Times New Roman" w:cs="Times New Roman"/>
          <w:sz w:val="28"/>
          <w:szCs w:val="28"/>
        </w:rPr>
        <w:t xml:space="preserve"> следующих факторов:</w:t>
      </w:r>
    </w:p>
    <w:p w:rsidR="00D763C6" w:rsidRDefault="00D763C6" w:rsidP="00922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28EC" w:rsidRPr="006D64F5">
        <w:rPr>
          <w:rFonts w:ascii="Times New Roman" w:hAnsi="Times New Roman" w:cs="Times New Roman"/>
          <w:sz w:val="28"/>
          <w:szCs w:val="28"/>
        </w:rPr>
        <w:t xml:space="preserve"> отсутствия установленных фактов искажений показателей бюджетной отчетности</w:t>
      </w:r>
      <w:r w:rsidR="006D64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763C6" w:rsidRDefault="00D763C6" w:rsidP="00922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64F5">
        <w:rPr>
          <w:rFonts w:ascii="Times New Roman" w:hAnsi="Times New Roman" w:cs="Times New Roman"/>
          <w:sz w:val="28"/>
          <w:szCs w:val="28"/>
        </w:rPr>
        <w:t xml:space="preserve"> </w:t>
      </w:r>
      <w:r w:rsidR="006D64F5" w:rsidRPr="006D64F5">
        <w:rPr>
          <w:rFonts w:ascii="Times New Roman" w:hAnsi="Times New Roman" w:cs="Times New Roman"/>
          <w:sz w:val="28"/>
          <w:szCs w:val="28"/>
        </w:rPr>
        <w:t>выражен</w:t>
      </w:r>
      <w:r w:rsidR="006D64F5">
        <w:rPr>
          <w:rFonts w:ascii="Times New Roman" w:hAnsi="Times New Roman" w:cs="Times New Roman"/>
          <w:sz w:val="28"/>
          <w:szCs w:val="28"/>
        </w:rPr>
        <w:t>н</w:t>
      </w:r>
      <w:r w:rsidR="006D64F5" w:rsidRPr="006D64F5">
        <w:rPr>
          <w:rFonts w:ascii="Times New Roman" w:hAnsi="Times New Roman" w:cs="Times New Roman"/>
          <w:sz w:val="28"/>
          <w:szCs w:val="28"/>
        </w:rPr>
        <w:t>о</w:t>
      </w:r>
      <w:r w:rsidR="006D64F5">
        <w:rPr>
          <w:rFonts w:ascii="Times New Roman" w:hAnsi="Times New Roman" w:cs="Times New Roman"/>
          <w:sz w:val="28"/>
          <w:szCs w:val="28"/>
        </w:rPr>
        <w:t>го</w:t>
      </w:r>
      <w:r w:rsidR="006D64F5" w:rsidRPr="006D64F5">
        <w:rPr>
          <w:rFonts w:ascii="Times New Roman" w:hAnsi="Times New Roman" w:cs="Times New Roman"/>
          <w:sz w:val="28"/>
          <w:szCs w:val="28"/>
        </w:rPr>
        <w:t xml:space="preserve"> по результатам проведения внешней проверки годового отчета об исполнении бюджета</w:t>
      </w:r>
      <w:r w:rsidRPr="00D763C6">
        <w:rPr>
          <w:rFonts w:ascii="Times New Roman" w:hAnsi="Times New Roman" w:cs="Times New Roman"/>
          <w:sz w:val="28"/>
          <w:szCs w:val="28"/>
        </w:rPr>
        <w:t xml:space="preserve"> </w:t>
      </w:r>
      <w:r w:rsidRPr="006D64F5">
        <w:rPr>
          <w:rFonts w:ascii="Times New Roman" w:hAnsi="Times New Roman" w:cs="Times New Roman"/>
          <w:sz w:val="28"/>
          <w:szCs w:val="28"/>
        </w:rPr>
        <w:t>независимо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D64F5">
        <w:rPr>
          <w:rFonts w:ascii="Times New Roman" w:hAnsi="Times New Roman" w:cs="Times New Roman"/>
          <w:sz w:val="28"/>
          <w:szCs w:val="28"/>
        </w:rPr>
        <w:t xml:space="preserve"> мнени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D64F5">
        <w:rPr>
          <w:rFonts w:ascii="Times New Roman" w:hAnsi="Times New Roman" w:cs="Times New Roman"/>
          <w:sz w:val="28"/>
          <w:szCs w:val="28"/>
        </w:rPr>
        <w:t xml:space="preserve"> о достоверности бюджетной отчетности</w:t>
      </w:r>
      <w:r w:rsidR="009228EC" w:rsidRPr="006D64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228EC" w:rsidRPr="006D64F5" w:rsidRDefault="00D763C6" w:rsidP="00922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отсутствия</w:t>
      </w:r>
      <w:r w:rsidR="006D64F5">
        <w:rPr>
          <w:rFonts w:ascii="Times New Roman" w:hAnsi="Times New Roman" w:cs="Times New Roman"/>
          <w:sz w:val="28"/>
          <w:szCs w:val="28"/>
        </w:rPr>
        <w:t xml:space="preserve"> </w:t>
      </w:r>
      <w:r w:rsidR="002F648A" w:rsidRPr="006D64F5">
        <w:rPr>
          <w:rFonts w:ascii="Times New Roman" w:hAnsi="Times New Roman" w:cs="Times New Roman"/>
          <w:sz w:val="28"/>
          <w:szCs w:val="28"/>
        </w:rPr>
        <w:t>зафиксированных нарушений порядка формирования и представления сводной бюджетной отчетности, порядка проведения инвентаризации активов и обязательств.</w:t>
      </w:r>
    </w:p>
    <w:p w:rsidR="00B90004" w:rsidRPr="00B90004" w:rsidRDefault="00B90004" w:rsidP="00B90004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Оценка</w:t>
      </w:r>
      <w:r w:rsidRPr="00B9000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качества </w:t>
      </w:r>
      <w:r w:rsidR="00292760">
        <w:rPr>
          <w:rFonts w:ascii="Times New Roman" w:hAnsi="Times New Roman" w:cs="Times New Roman"/>
          <w:b/>
          <w:snapToGrid w:val="0"/>
          <w:sz w:val="28"/>
          <w:szCs w:val="28"/>
        </w:rPr>
        <w:t>организации</w:t>
      </w:r>
      <w:r w:rsidRPr="00B9000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и осуществлени</w:t>
      </w:r>
      <w:r w:rsidR="00292760">
        <w:rPr>
          <w:rFonts w:ascii="Times New Roman" w:hAnsi="Times New Roman" w:cs="Times New Roman"/>
          <w:b/>
          <w:snapToGrid w:val="0"/>
          <w:sz w:val="28"/>
          <w:szCs w:val="28"/>
        </w:rPr>
        <w:t>я внутреннего финансового аудита</w:t>
      </w:r>
    </w:p>
    <w:p w:rsidR="00B90004" w:rsidRDefault="00EC5B4C" w:rsidP="00B900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Среднее значение оценки </w:t>
      </w:r>
      <w:r w:rsidR="005F5103" w:rsidRPr="00D6571B">
        <w:rPr>
          <w:rFonts w:ascii="Times New Roman" w:hAnsi="Times New Roman" w:cs="Times New Roman"/>
          <w:snapToGrid w:val="0"/>
          <w:sz w:val="28"/>
          <w:szCs w:val="28"/>
        </w:rPr>
        <w:t>качества финансового менеджмента главн</w:t>
      </w:r>
      <w:r w:rsidR="005F5103">
        <w:rPr>
          <w:rFonts w:ascii="Times New Roman" w:hAnsi="Times New Roman" w:cs="Times New Roman"/>
          <w:snapToGrid w:val="0"/>
          <w:sz w:val="28"/>
          <w:szCs w:val="28"/>
        </w:rPr>
        <w:t>ых</w:t>
      </w:r>
      <w:r w:rsidR="005F5103" w:rsidRPr="00D6571B">
        <w:rPr>
          <w:rFonts w:ascii="Times New Roman" w:hAnsi="Times New Roman" w:cs="Times New Roman"/>
          <w:snapToGrid w:val="0"/>
          <w:sz w:val="28"/>
          <w:szCs w:val="28"/>
        </w:rPr>
        <w:t xml:space="preserve"> администратор</w:t>
      </w:r>
      <w:r w:rsidR="005F5103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="005F5103" w:rsidRPr="00D6571B">
        <w:rPr>
          <w:rFonts w:ascii="Times New Roman" w:hAnsi="Times New Roman" w:cs="Times New Roman"/>
          <w:snapToGrid w:val="0"/>
          <w:sz w:val="28"/>
          <w:szCs w:val="28"/>
        </w:rPr>
        <w:t xml:space="preserve"> по направлению «</w:t>
      </w:r>
      <w:r w:rsidR="005F5103" w:rsidRPr="00B90004">
        <w:rPr>
          <w:rFonts w:ascii="Times New Roman" w:hAnsi="Times New Roman" w:cs="Times New Roman"/>
          <w:snapToGrid w:val="0"/>
          <w:sz w:val="28"/>
          <w:szCs w:val="28"/>
        </w:rPr>
        <w:t>Организация и осуществление внутреннего финансового аудита</w:t>
      </w:r>
      <w:r w:rsidR="005F5103" w:rsidRPr="00D6571B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5F5103">
        <w:rPr>
          <w:rFonts w:ascii="Times New Roman" w:hAnsi="Times New Roman" w:cs="Times New Roman"/>
          <w:snapToGrid w:val="0"/>
          <w:sz w:val="28"/>
          <w:szCs w:val="28"/>
        </w:rPr>
        <w:t xml:space="preserve"> составило </w:t>
      </w:r>
      <w:r w:rsidR="005F5103" w:rsidRPr="005F5103">
        <w:rPr>
          <w:rFonts w:ascii="Times New Roman" w:hAnsi="Times New Roman" w:cs="Times New Roman"/>
          <w:snapToGrid w:val="0"/>
          <w:sz w:val="28"/>
          <w:szCs w:val="28"/>
        </w:rPr>
        <w:t>10</w:t>
      </w:r>
      <w:r w:rsidR="005F5103">
        <w:rPr>
          <w:rFonts w:ascii="Times New Roman" w:hAnsi="Times New Roman" w:cs="Times New Roman"/>
          <w:snapToGrid w:val="0"/>
          <w:sz w:val="28"/>
          <w:szCs w:val="28"/>
        </w:rPr>
        <w:t>0,0 баллов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90004" w:rsidRDefault="00B90004" w:rsidP="00B900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По результатам мониторинга отмечено, что </w:t>
      </w:r>
      <w:r w:rsidR="005F5103">
        <w:rPr>
          <w:rFonts w:ascii="Times New Roman" w:hAnsi="Times New Roman" w:cs="Times New Roman"/>
          <w:snapToGrid w:val="0"/>
          <w:sz w:val="28"/>
          <w:szCs w:val="28"/>
        </w:rPr>
        <w:t>всеми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главными администраторами </w:t>
      </w:r>
      <w:r w:rsidR="005F5103">
        <w:rPr>
          <w:rFonts w:ascii="Times New Roman" w:hAnsi="Times New Roman" w:cs="Times New Roman"/>
          <w:snapToGrid w:val="0"/>
          <w:sz w:val="28"/>
          <w:szCs w:val="28"/>
        </w:rPr>
        <w:t xml:space="preserve">средств городского бюджета </w:t>
      </w:r>
      <w:r>
        <w:rPr>
          <w:rFonts w:ascii="Times New Roman" w:hAnsi="Times New Roman" w:cs="Times New Roman"/>
          <w:snapToGrid w:val="0"/>
          <w:sz w:val="28"/>
          <w:szCs w:val="28"/>
        </w:rPr>
        <w:t>реализуются бюджетные полномочия, предусмотренные Бюджетным кодексом Российской Федерации</w:t>
      </w:r>
      <w:r w:rsidR="002D73BB">
        <w:rPr>
          <w:rFonts w:ascii="Times New Roman" w:hAnsi="Times New Roman" w:cs="Times New Roman"/>
          <w:snapToGrid w:val="0"/>
          <w:sz w:val="28"/>
          <w:szCs w:val="28"/>
        </w:rPr>
        <w:t>, в част</w:t>
      </w:r>
      <w:r w:rsidR="005F5103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2D73BB">
        <w:rPr>
          <w:rFonts w:ascii="Times New Roman" w:hAnsi="Times New Roman" w:cs="Times New Roman"/>
          <w:snapToGrid w:val="0"/>
          <w:sz w:val="28"/>
          <w:szCs w:val="28"/>
        </w:rPr>
        <w:t xml:space="preserve"> осуществления внутреннего финансового аудита.</w:t>
      </w:r>
      <w:r w:rsidR="005F5103">
        <w:rPr>
          <w:rFonts w:ascii="Times New Roman" w:hAnsi="Times New Roman" w:cs="Times New Roman"/>
          <w:snapToGrid w:val="0"/>
          <w:sz w:val="28"/>
          <w:szCs w:val="28"/>
        </w:rPr>
        <w:t xml:space="preserve"> При этом три из десяти главных администраторов средств городского бюджета воспользовались правом осуществления</w:t>
      </w:r>
      <w:r w:rsidR="005F5103" w:rsidRPr="005F510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F5103">
        <w:rPr>
          <w:rFonts w:ascii="Times New Roman" w:hAnsi="Times New Roman" w:cs="Times New Roman"/>
          <w:snapToGrid w:val="0"/>
          <w:sz w:val="28"/>
          <w:szCs w:val="28"/>
        </w:rPr>
        <w:t xml:space="preserve">внутреннего </w:t>
      </w:r>
      <w:r w:rsidR="005F5103" w:rsidRPr="005F5103">
        <w:rPr>
          <w:rFonts w:ascii="Times New Roman" w:hAnsi="Times New Roman" w:cs="Times New Roman"/>
          <w:snapToGrid w:val="0"/>
          <w:sz w:val="28"/>
          <w:szCs w:val="28"/>
        </w:rPr>
        <w:t>финансов</w:t>
      </w:r>
      <w:r w:rsidR="005F5103">
        <w:rPr>
          <w:rFonts w:ascii="Times New Roman" w:hAnsi="Times New Roman" w:cs="Times New Roman"/>
          <w:snapToGrid w:val="0"/>
          <w:sz w:val="28"/>
          <w:szCs w:val="28"/>
        </w:rPr>
        <w:t>ого</w:t>
      </w:r>
      <w:r w:rsidR="005F5103" w:rsidRPr="005F5103">
        <w:rPr>
          <w:rFonts w:ascii="Times New Roman" w:hAnsi="Times New Roman" w:cs="Times New Roman"/>
          <w:snapToGrid w:val="0"/>
          <w:sz w:val="28"/>
          <w:szCs w:val="28"/>
        </w:rPr>
        <w:t xml:space="preserve"> аудит</w:t>
      </w:r>
      <w:r w:rsidR="005F5103">
        <w:rPr>
          <w:rFonts w:ascii="Times New Roman" w:hAnsi="Times New Roman" w:cs="Times New Roman"/>
          <w:snapToGrid w:val="0"/>
          <w:sz w:val="28"/>
          <w:szCs w:val="28"/>
        </w:rPr>
        <w:t xml:space="preserve">а по </w:t>
      </w:r>
      <w:r w:rsidR="005F5103" w:rsidRPr="005F5103">
        <w:rPr>
          <w:rFonts w:ascii="Times New Roman" w:hAnsi="Times New Roman" w:cs="Times New Roman"/>
          <w:snapToGrid w:val="0"/>
          <w:sz w:val="28"/>
          <w:szCs w:val="28"/>
        </w:rPr>
        <w:t>упрощенной системе</w:t>
      </w:r>
      <w:r w:rsidR="005F5103">
        <w:rPr>
          <w:rFonts w:ascii="Times New Roman" w:hAnsi="Times New Roman" w:cs="Times New Roman"/>
          <w:snapToGrid w:val="0"/>
          <w:sz w:val="28"/>
          <w:szCs w:val="28"/>
        </w:rPr>
        <w:t xml:space="preserve"> (согласно пункту 3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утвержденного приказом </w:t>
      </w:r>
      <w:r w:rsidR="005F5103" w:rsidRPr="005F5103">
        <w:rPr>
          <w:rFonts w:ascii="Times New Roman" w:hAnsi="Times New Roman" w:cs="Times New Roman"/>
          <w:snapToGrid w:val="0"/>
          <w:sz w:val="28"/>
          <w:szCs w:val="28"/>
        </w:rPr>
        <w:t xml:space="preserve">Минфина России от </w:t>
      </w:r>
      <w:r w:rsidR="005F5103">
        <w:rPr>
          <w:rFonts w:ascii="Times New Roman" w:hAnsi="Times New Roman" w:cs="Times New Roman"/>
          <w:snapToGrid w:val="0"/>
          <w:sz w:val="28"/>
          <w:szCs w:val="28"/>
        </w:rPr>
        <w:t xml:space="preserve">18.12.2019 </w:t>
      </w:r>
      <w:r w:rsidR="005F5103" w:rsidRPr="005F5103">
        <w:rPr>
          <w:rFonts w:ascii="Times New Roman" w:hAnsi="Times New Roman" w:cs="Times New Roman"/>
          <w:snapToGrid w:val="0"/>
          <w:sz w:val="28"/>
          <w:szCs w:val="28"/>
        </w:rPr>
        <w:t xml:space="preserve">№ </w:t>
      </w:r>
      <w:r w:rsidR="005F5103">
        <w:rPr>
          <w:rFonts w:ascii="Times New Roman" w:hAnsi="Times New Roman" w:cs="Times New Roman"/>
          <w:snapToGrid w:val="0"/>
          <w:sz w:val="28"/>
          <w:szCs w:val="28"/>
        </w:rPr>
        <w:t>237н).</w:t>
      </w:r>
    </w:p>
    <w:p w:rsidR="002D73BB" w:rsidRPr="005F5103" w:rsidRDefault="005F5103" w:rsidP="00B900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2D73BB">
        <w:rPr>
          <w:rFonts w:ascii="Times New Roman" w:hAnsi="Times New Roman" w:cs="Times New Roman"/>
          <w:snapToGrid w:val="0"/>
          <w:sz w:val="28"/>
          <w:szCs w:val="28"/>
        </w:rPr>
        <w:t xml:space="preserve">тмечено отсутствие </w:t>
      </w:r>
      <w:r w:rsidR="002D73BB" w:rsidRPr="002D73BB">
        <w:rPr>
          <w:rFonts w:ascii="Times New Roman" w:hAnsi="Times New Roman" w:cs="Times New Roman"/>
          <w:snapToGrid w:val="0"/>
          <w:sz w:val="28"/>
          <w:szCs w:val="28"/>
        </w:rPr>
        <w:t>нарушений, выявленных по результатам проверок, проведенных Счетной палат</w:t>
      </w:r>
      <w:r w:rsidR="00D763C6">
        <w:rPr>
          <w:rFonts w:ascii="Times New Roman" w:hAnsi="Times New Roman" w:cs="Times New Roman"/>
          <w:snapToGrid w:val="0"/>
          <w:sz w:val="28"/>
          <w:szCs w:val="28"/>
        </w:rPr>
        <w:t>ой</w:t>
      </w:r>
      <w:r w:rsidR="002D73BB" w:rsidRPr="002D73BB">
        <w:rPr>
          <w:rFonts w:ascii="Times New Roman" w:hAnsi="Times New Roman" w:cs="Times New Roman"/>
          <w:snapToGrid w:val="0"/>
          <w:sz w:val="28"/>
          <w:szCs w:val="28"/>
        </w:rPr>
        <w:t xml:space="preserve"> Владимирской области, Управлением Федерального казначейства Владимирской области</w:t>
      </w:r>
      <w:r w:rsidR="005E086D">
        <w:rPr>
          <w:rFonts w:ascii="Times New Roman" w:hAnsi="Times New Roman" w:cs="Times New Roman"/>
          <w:snapToGrid w:val="0"/>
          <w:sz w:val="28"/>
          <w:szCs w:val="28"/>
        </w:rPr>
        <w:t xml:space="preserve"> в отношении главных администраторов</w:t>
      </w:r>
      <w:r w:rsidR="002D73BB" w:rsidRPr="002D73B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средств городского бюджета </w:t>
      </w:r>
      <w:r w:rsidR="002D73BB" w:rsidRPr="002D73BB">
        <w:rPr>
          <w:rFonts w:ascii="Times New Roman" w:hAnsi="Times New Roman" w:cs="Times New Roman"/>
          <w:snapToGrid w:val="0"/>
          <w:sz w:val="28"/>
          <w:szCs w:val="28"/>
        </w:rPr>
        <w:t>в отчетном финансовом году</w:t>
      </w:r>
      <w:r>
        <w:rPr>
          <w:rFonts w:ascii="Times New Roman" w:hAnsi="Times New Roman" w:cs="Times New Roman"/>
          <w:snapToGrid w:val="0"/>
          <w:sz w:val="28"/>
          <w:szCs w:val="28"/>
        </w:rPr>
        <w:t>, а также отсутствие нарушений,</w:t>
      </w:r>
      <w:r w:rsidRPr="005F5103">
        <w:rPr>
          <w:rFonts w:ascii="Times New Roman" w:hAnsi="Times New Roman" w:cs="Times New Roman"/>
          <w:snapToGrid w:val="0"/>
          <w:sz w:val="28"/>
          <w:szCs w:val="28"/>
        </w:rPr>
        <w:t xml:space="preserve"> выявленных по результатам проведения аудиторских мероприятий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D64F5" w:rsidRPr="005E086D" w:rsidRDefault="005E086D" w:rsidP="005E086D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5E086D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Оценка качества </w:t>
      </w:r>
      <w:r w:rsidR="00292760">
        <w:rPr>
          <w:rFonts w:ascii="Times New Roman" w:hAnsi="Times New Roman" w:cs="Times New Roman"/>
          <w:b/>
          <w:snapToGrid w:val="0"/>
          <w:sz w:val="28"/>
          <w:szCs w:val="28"/>
        </w:rPr>
        <w:t>управления активами</w:t>
      </w:r>
    </w:p>
    <w:p w:rsidR="008C58ED" w:rsidRDefault="008C58ED" w:rsidP="000B22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Средняя оценка качества финансового менеджмента главного администратора по направлению «Управление активами» составила </w:t>
      </w:r>
      <w:r w:rsidR="00B42A1B">
        <w:rPr>
          <w:rFonts w:ascii="Times New Roman" w:hAnsi="Times New Roman" w:cs="Times New Roman"/>
          <w:snapToGrid w:val="0"/>
          <w:sz w:val="28"/>
          <w:szCs w:val="28"/>
        </w:rPr>
        <w:t>92,5 балл, максимальное – 100,0 баллов, минимальное – 75,0 баллов (отклонение от целевого значения – 6%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). </w:t>
      </w:r>
    </w:p>
    <w:p w:rsidR="008C58ED" w:rsidRDefault="008C58ED" w:rsidP="008C58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К факторам, </w:t>
      </w:r>
      <w:r w:rsidRPr="00EB6134">
        <w:rPr>
          <w:rFonts w:ascii="Times New Roman" w:hAnsi="Times New Roman" w:cs="Times New Roman"/>
          <w:b/>
          <w:snapToGrid w:val="0"/>
          <w:sz w:val="28"/>
          <w:szCs w:val="28"/>
        </w:rPr>
        <w:t>положительно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характеризующим качество управления </w:t>
      </w:r>
      <w:r w:rsidR="003232A2">
        <w:rPr>
          <w:rFonts w:ascii="Times New Roman" w:hAnsi="Times New Roman" w:cs="Times New Roman"/>
          <w:snapToGrid w:val="0"/>
          <w:sz w:val="28"/>
          <w:szCs w:val="28"/>
        </w:rPr>
        <w:t>активами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 отчетном году, следует отнести следующее:</w:t>
      </w:r>
    </w:p>
    <w:p w:rsidR="004710E7" w:rsidRDefault="004710E7" w:rsidP="008C58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1) относительно </w:t>
      </w:r>
      <w:r w:rsidR="006E0D9F">
        <w:rPr>
          <w:rFonts w:ascii="Times New Roman" w:hAnsi="Times New Roman" w:cs="Times New Roman"/>
          <w:snapToGrid w:val="0"/>
          <w:sz w:val="28"/>
          <w:szCs w:val="28"/>
        </w:rPr>
        <w:t>постоянный объем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8C58ED">
        <w:rPr>
          <w:rFonts w:ascii="Times New Roman" w:hAnsi="Times New Roman" w:cs="Times New Roman"/>
          <w:snapToGrid w:val="0"/>
          <w:sz w:val="28"/>
          <w:szCs w:val="28"/>
        </w:rPr>
        <w:t xml:space="preserve">материальных запасов </w:t>
      </w:r>
      <w:r w:rsidR="006E0D9F">
        <w:rPr>
          <w:rFonts w:ascii="Times New Roman" w:hAnsi="Times New Roman" w:cs="Times New Roman"/>
          <w:snapToGrid w:val="0"/>
          <w:sz w:val="28"/>
          <w:szCs w:val="28"/>
        </w:rPr>
        <w:t xml:space="preserve">в стоимостном выражении </w:t>
      </w:r>
      <w:r>
        <w:rPr>
          <w:rFonts w:ascii="Times New Roman" w:hAnsi="Times New Roman" w:cs="Times New Roman"/>
          <w:snapToGrid w:val="0"/>
          <w:sz w:val="28"/>
          <w:szCs w:val="28"/>
        </w:rPr>
        <w:t>на конец отчетного года относительно предыдущего года</w:t>
      </w:r>
      <w:r w:rsidR="006E0D9F">
        <w:rPr>
          <w:rFonts w:ascii="Times New Roman" w:hAnsi="Times New Roman" w:cs="Times New Roman"/>
          <w:snapToGrid w:val="0"/>
          <w:sz w:val="28"/>
          <w:szCs w:val="28"/>
        </w:rPr>
        <w:t>. Следует</w:t>
      </w:r>
      <w:r w:rsidR="00B42A1B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6E0D9F">
        <w:rPr>
          <w:rFonts w:ascii="Times New Roman" w:hAnsi="Times New Roman" w:cs="Times New Roman"/>
          <w:snapToGrid w:val="0"/>
          <w:sz w:val="28"/>
          <w:szCs w:val="28"/>
        </w:rPr>
        <w:t xml:space="preserve"> однако</w:t>
      </w:r>
      <w:r w:rsidR="00B42A1B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6E0D9F">
        <w:rPr>
          <w:rFonts w:ascii="Times New Roman" w:hAnsi="Times New Roman" w:cs="Times New Roman"/>
          <w:snapToGrid w:val="0"/>
          <w:sz w:val="28"/>
          <w:szCs w:val="28"/>
        </w:rPr>
        <w:t xml:space="preserve"> отметить, что у трех из десяти главных администраторов (МКУ «</w:t>
      </w:r>
      <w:r w:rsidR="003232A2">
        <w:rPr>
          <w:rFonts w:ascii="Times New Roman" w:hAnsi="Times New Roman" w:cs="Times New Roman"/>
          <w:snapToGrid w:val="0"/>
          <w:sz w:val="28"/>
          <w:szCs w:val="28"/>
        </w:rPr>
        <w:t>УАЗ</w:t>
      </w:r>
      <w:r w:rsidR="006E0D9F">
        <w:rPr>
          <w:rFonts w:ascii="Times New Roman" w:hAnsi="Times New Roman" w:cs="Times New Roman"/>
          <w:snapToGrid w:val="0"/>
          <w:sz w:val="28"/>
          <w:szCs w:val="28"/>
        </w:rPr>
        <w:t xml:space="preserve">», управление образования, финансовое управление) допущен рост </w:t>
      </w:r>
      <w:r w:rsidR="006E0D9F" w:rsidRPr="008C58ED">
        <w:rPr>
          <w:rFonts w:ascii="Times New Roman" w:hAnsi="Times New Roman" w:cs="Times New Roman"/>
          <w:snapToGrid w:val="0"/>
          <w:sz w:val="28"/>
          <w:szCs w:val="28"/>
        </w:rPr>
        <w:t>стоимост</w:t>
      </w:r>
      <w:r w:rsidR="006E0D9F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6E0D9F" w:rsidRPr="008C58ED">
        <w:rPr>
          <w:rFonts w:ascii="Times New Roman" w:hAnsi="Times New Roman" w:cs="Times New Roman"/>
          <w:snapToGrid w:val="0"/>
          <w:sz w:val="28"/>
          <w:szCs w:val="28"/>
        </w:rPr>
        <w:t xml:space="preserve"> материальных запасов </w:t>
      </w:r>
      <w:r w:rsidR="006E0D9F">
        <w:rPr>
          <w:rFonts w:ascii="Times New Roman" w:hAnsi="Times New Roman" w:cs="Times New Roman"/>
          <w:snapToGrid w:val="0"/>
          <w:sz w:val="28"/>
          <w:szCs w:val="28"/>
        </w:rPr>
        <w:t>на конец отчетного года относительно предыдущего года, превышающий индекс инфляции</w:t>
      </w:r>
      <w:r w:rsidR="003232A2">
        <w:rPr>
          <w:rFonts w:ascii="Times New Roman" w:hAnsi="Times New Roman" w:cs="Times New Roman"/>
          <w:snapToGrid w:val="0"/>
          <w:sz w:val="28"/>
          <w:szCs w:val="28"/>
        </w:rPr>
        <w:t>. Средняя оценка по показателю «Качество управления материальными запасами» – 70,0 баллов (отклонение от целевого значения 13%), максимальная – 100,0 баллов, минимальная – 0,0 баллов</w:t>
      </w:r>
      <w:r w:rsidR="006E0D9F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8C58ED" w:rsidRDefault="00D36F2D" w:rsidP="000B22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8C58ED">
        <w:rPr>
          <w:rFonts w:ascii="Times New Roman" w:hAnsi="Times New Roman" w:cs="Times New Roman"/>
          <w:snapToGrid w:val="0"/>
          <w:sz w:val="28"/>
          <w:szCs w:val="28"/>
        </w:rPr>
        <w:t>) отсутствие н</w:t>
      </w:r>
      <w:r w:rsidR="008C58ED" w:rsidRPr="008C58ED">
        <w:rPr>
          <w:rFonts w:ascii="Times New Roman" w:hAnsi="Times New Roman" w:cs="Times New Roman"/>
          <w:snapToGrid w:val="0"/>
          <w:sz w:val="28"/>
          <w:szCs w:val="28"/>
        </w:rPr>
        <w:t>арушени</w:t>
      </w:r>
      <w:r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="008C58ED" w:rsidRPr="008C58ED">
        <w:rPr>
          <w:rFonts w:ascii="Times New Roman" w:hAnsi="Times New Roman" w:cs="Times New Roman"/>
          <w:snapToGrid w:val="0"/>
          <w:sz w:val="28"/>
          <w:szCs w:val="28"/>
        </w:rPr>
        <w:t xml:space="preserve"> при управлении и распоряжении муниципальной собственностью</w:t>
      </w:r>
      <w:r w:rsidR="008C58ED">
        <w:rPr>
          <w:rFonts w:ascii="Times New Roman" w:hAnsi="Times New Roman" w:cs="Times New Roman"/>
          <w:snapToGrid w:val="0"/>
          <w:sz w:val="28"/>
          <w:szCs w:val="28"/>
        </w:rPr>
        <w:t xml:space="preserve"> при проведении контрольных мероприятий </w:t>
      </w:r>
      <w:r w:rsidR="008C58ED" w:rsidRPr="002D73BB">
        <w:rPr>
          <w:rFonts w:ascii="Times New Roman" w:hAnsi="Times New Roman" w:cs="Times New Roman"/>
          <w:snapToGrid w:val="0"/>
          <w:sz w:val="28"/>
          <w:szCs w:val="28"/>
        </w:rPr>
        <w:lastRenderedPageBreak/>
        <w:t>Счетной палат</w:t>
      </w:r>
      <w:r w:rsidR="008C58ED">
        <w:rPr>
          <w:rFonts w:ascii="Times New Roman" w:hAnsi="Times New Roman" w:cs="Times New Roman"/>
          <w:snapToGrid w:val="0"/>
          <w:sz w:val="28"/>
          <w:szCs w:val="28"/>
        </w:rPr>
        <w:t>ой</w:t>
      </w:r>
      <w:r w:rsidR="008C58ED" w:rsidRPr="002D73BB">
        <w:rPr>
          <w:rFonts w:ascii="Times New Roman" w:hAnsi="Times New Roman" w:cs="Times New Roman"/>
          <w:snapToGrid w:val="0"/>
          <w:sz w:val="28"/>
          <w:szCs w:val="28"/>
        </w:rPr>
        <w:t xml:space="preserve"> Владимирской области, Управлением Федерального казначейства Владимирской области</w:t>
      </w:r>
      <w:r w:rsidR="003232A2">
        <w:rPr>
          <w:rFonts w:ascii="Times New Roman" w:hAnsi="Times New Roman" w:cs="Times New Roman"/>
          <w:snapToGrid w:val="0"/>
          <w:sz w:val="28"/>
          <w:szCs w:val="28"/>
        </w:rPr>
        <w:t>. Средняя оценка по показателю «Н</w:t>
      </w:r>
      <w:r w:rsidR="003232A2" w:rsidRPr="008C58ED">
        <w:rPr>
          <w:rFonts w:ascii="Times New Roman" w:hAnsi="Times New Roman" w:cs="Times New Roman"/>
          <w:snapToGrid w:val="0"/>
          <w:sz w:val="28"/>
          <w:szCs w:val="28"/>
        </w:rPr>
        <w:t>арушени</w:t>
      </w:r>
      <w:r w:rsidR="003232A2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3232A2" w:rsidRPr="008C58ED">
        <w:rPr>
          <w:rFonts w:ascii="Times New Roman" w:hAnsi="Times New Roman" w:cs="Times New Roman"/>
          <w:snapToGrid w:val="0"/>
          <w:sz w:val="28"/>
          <w:szCs w:val="28"/>
        </w:rPr>
        <w:t xml:space="preserve"> при управлении и распоряжении муниципальной собственностью</w:t>
      </w:r>
      <w:r w:rsidR="003232A2">
        <w:rPr>
          <w:rFonts w:ascii="Times New Roman" w:hAnsi="Times New Roman" w:cs="Times New Roman"/>
          <w:snapToGrid w:val="0"/>
          <w:sz w:val="28"/>
          <w:szCs w:val="28"/>
        </w:rPr>
        <w:t>» – 100,0 баллов</w:t>
      </w:r>
      <w:r w:rsidR="008C58ED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8C58ED" w:rsidRDefault="00D36F2D" w:rsidP="000B22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8C58ED">
        <w:rPr>
          <w:rFonts w:ascii="Times New Roman" w:hAnsi="Times New Roman" w:cs="Times New Roman"/>
          <w:snapToGrid w:val="0"/>
          <w:sz w:val="28"/>
          <w:szCs w:val="28"/>
        </w:rPr>
        <w:t>) п</w:t>
      </w:r>
      <w:r w:rsidR="008C58ED" w:rsidRPr="008C58ED">
        <w:rPr>
          <w:rFonts w:ascii="Times New Roman" w:hAnsi="Times New Roman" w:cs="Times New Roman"/>
          <w:snapToGrid w:val="0"/>
          <w:sz w:val="28"/>
          <w:szCs w:val="28"/>
        </w:rPr>
        <w:t>роведение инвентаризации активов и обязательств</w:t>
      </w:r>
      <w:r w:rsidR="008C58ED">
        <w:rPr>
          <w:rFonts w:ascii="Times New Roman" w:hAnsi="Times New Roman" w:cs="Times New Roman"/>
          <w:snapToGrid w:val="0"/>
          <w:sz w:val="28"/>
          <w:szCs w:val="28"/>
        </w:rPr>
        <w:t xml:space="preserve"> перед составлением </w:t>
      </w:r>
      <w:r w:rsidR="008C58ED" w:rsidRPr="008C58ED">
        <w:rPr>
          <w:rFonts w:ascii="Times New Roman" w:hAnsi="Times New Roman" w:cs="Times New Roman"/>
          <w:snapToGrid w:val="0"/>
          <w:sz w:val="28"/>
          <w:szCs w:val="28"/>
        </w:rPr>
        <w:t>отчетности за отчетный финансовый год</w:t>
      </w:r>
      <w:r w:rsidR="003232A2">
        <w:rPr>
          <w:rFonts w:ascii="Times New Roman" w:hAnsi="Times New Roman" w:cs="Times New Roman"/>
          <w:snapToGrid w:val="0"/>
          <w:sz w:val="28"/>
          <w:szCs w:val="28"/>
        </w:rPr>
        <w:t>. Средняя оценка по показателю «П</w:t>
      </w:r>
      <w:r w:rsidR="003232A2" w:rsidRPr="008C58ED">
        <w:rPr>
          <w:rFonts w:ascii="Times New Roman" w:hAnsi="Times New Roman" w:cs="Times New Roman"/>
          <w:snapToGrid w:val="0"/>
          <w:sz w:val="28"/>
          <w:szCs w:val="28"/>
        </w:rPr>
        <w:t>роведение инвентаризации активов и обязательств</w:t>
      </w:r>
      <w:r w:rsidR="003232A2">
        <w:rPr>
          <w:rFonts w:ascii="Times New Roman" w:hAnsi="Times New Roman" w:cs="Times New Roman"/>
          <w:snapToGrid w:val="0"/>
          <w:sz w:val="28"/>
          <w:szCs w:val="28"/>
        </w:rPr>
        <w:t>» – 100,0 баллов</w:t>
      </w:r>
      <w:r w:rsidR="008C58ED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8C58ED" w:rsidRPr="008C58ED" w:rsidRDefault="00D36F2D" w:rsidP="000B22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8C58ED">
        <w:rPr>
          <w:rFonts w:ascii="Times New Roman" w:hAnsi="Times New Roman" w:cs="Times New Roman"/>
          <w:snapToGrid w:val="0"/>
          <w:sz w:val="28"/>
          <w:szCs w:val="28"/>
        </w:rPr>
        <w:t xml:space="preserve">) отсутствием фактов выявления </w:t>
      </w:r>
      <w:r w:rsidR="008C58ED" w:rsidRPr="008C58ED">
        <w:rPr>
          <w:rFonts w:ascii="Times New Roman" w:hAnsi="Times New Roman" w:cs="Times New Roman"/>
          <w:snapToGrid w:val="0"/>
          <w:sz w:val="28"/>
          <w:szCs w:val="28"/>
        </w:rPr>
        <w:t>при проведении инвентаризации недостач</w:t>
      </w:r>
      <w:r w:rsidR="008C58ED">
        <w:rPr>
          <w:rFonts w:ascii="Times New Roman" w:hAnsi="Times New Roman" w:cs="Times New Roman"/>
          <w:snapToGrid w:val="0"/>
          <w:sz w:val="28"/>
          <w:szCs w:val="28"/>
        </w:rPr>
        <w:t xml:space="preserve"> и хищений </w:t>
      </w:r>
      <w:r w:rsidR="008C58ED" w:rsidRPr="008C58ED">
        <w:rPr>
          <w:rFonts w:ascii="Times New Roman" w:hAnsi="Times New Roman" w:cs="Times New Roman"/>
          <w:snapToGrid w:val="0"/>
          <w:sz w:val="28"/>
          <w:szCs w:val="28"/>
        </w:rPr>
        <w:t>в отчетном периоде</w:t>
      </w:r>
      <w:r w:rsidR="008C58ED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3232A2">
        <w:rPr>
          <w:rFonts w:ascii="Times New Roman" w:hAnsi="Times New Roman" w:cs="Times New Roman"/>
          <w:snapToGrid w:val="0"/>
          <w:sz w:val="28"/>
          <w:szCs w:val="28"/>
        </w:rPr>
        <w:t xml:space="preserve"> Средняя оценка по показателю «Объем недостач, выявленных при проведении инвентаризации в отчетном периоде» – 100,0 баллов.</w:t>
      </w:r>
      <w:r w:rsidR="003232A2" w:rsidRPr="008C58E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9228EC" w:rsidRPr="006C671E" w:rsidRDefault="009228EC" w:rsidP="000B2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F07" w:rsidRDefault="002F648A" w:rsidP="00586F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A1B">
        <w:rPr>
          <w:rFonts w:ascii="Times New Roman" w:hAnsi="Times New Roman" w:cs="Times New Roman"/>
          <w:sz w:val="28"/>
          <w:szCs w:val="28"/>
        </w:rPr>
        <w:t xml:space="preserve">Среднее значение </w:t>
      </w:r>
      <w:r w:rsidR="003232A2">
        <w:rPr>
          <w:rFonts w:ascii="Times New Roman" w:hAnsi="Times New Roman" w:cs="Times New Roman"/>
          <w:b/>
          <w:sz w:val="28"/>
          <w:szCs w:val="28"/>
        </w:rPr>
        <w:t>уровня</w:t>
      </w:r>
      <w:r w:rsidR="00586F07" w:rsidRPr="00B42A1B">
        <w:rPr>
          <w:rFonts w:ascii="Times New Roman" w:hAnsi="Times New Roman" w:cs="Times New Roman"/>
          <w:sz w:val="28"/>
          <w:szCs w:val="28"/>
        </w:rPr>
        <w:t xml:space="preserve"> </w:t>
      </w:r>
      <w:r w:rsidR="00586F07" w:rsidRPr="00B42A1B">
        <w:rPr>
          <w:rFonts w:ascii="Times New Roman" w:hAnsi="Times New Roman" w:cs="Times New Roman"/>
          <w:b/>
          <w:sz w:val="28"/>
          <w:szCs w:val="28"/>
        </w:rPr>
        <w:t>качества финансового менеджмента, осуществляемого главными администраторами</w:t>
      </w:r>
      <w:r w:rsidR="00B42A1B" w:rsidRPr="00B42A1B">
        <w:rPr>
          <w:rFonts w:ascii="Times New Roman" w:hAnsi="Times New Roman" w:cs="Times New Roman"/>
          <w:b/>
          <w:sz w:val="28"/>
          <w:szCs w:val="28"/>
        </w:rPr>
        <w:t xml:space="preserve"> средств городского бюджета</w:t>
      </w:r>
      <w:r w:rsidR="00586F07" w:rsidRPr="00B42A1B">
        <w:rPr>
          <w:rFonts w:ascii="Times New Roman" w:hAnsi="Times New Roman" w:cs="Times New Roman"/>
          <w:sz w:val="28"/>
          <w:szCs w:val="28"/>
        </w:rPr>
        <w:t xml:space="preserve">, составило </w:t>
      </w:r>
      <w:r w:rsidR="006C671E">
        <w:rPr>
          <w:rFonts w:ascii="Times New Roman" w:hAnsi="Times New Roman" w:cs="Times New Roman"/>
          <w:sz w:val="28"/>
          <w:szCs w:val="28"/>
        </w:rPr>
        <w:t>91,2</w:t>
      </w:r>
      <w:r w:rsidR="00B42A1B" w:rsidRPr="00B42A1B">
        <w:rPr>
          <w:rFonts w:ascii="Times New Roman" w:hAnsi="Times New Roman" w:cs="Times New Roman"/>
          <w:sz w:val="28"/>
          <w:szCs w:val="28"/>
        </w:rPr>
        <w:t xml:space="preserve"> балл</w:t>
      </w:r>
      <w:r w:rsidR="006C671E">
        <w:rPr>
          <w:rFonts w:ascii="Times New Roman" w:hAnsi="Times New Roman" w:cs="Times New Roman"/>
          <w:sz w:val="28"/>
          <w:szCs w:val="28"/>
        </w:rPr>
        <w:t>а</w:t>
      </w:r>
      <w:r w:rsidR="00B42A1B" w:rsidRPr="00B42A1B">
        <w:rPr>
          <w:rFonts w:ascii="Times New Roman" w:hAnsi="Times New Roman" w:cs="Times New Roman"/>
          <w:sz w:val="28"/>
          <w:szCs w:val="28"/>
        </w:rPr>
        <w:t>, максимальн</w:t>
      </w:r>
      <w:r w:rsidR="00CF0842">
        <w:rPr>
          <w:rFonts w:ascii="Times New Roman" w:hAnsi="Times New Roman" w:cs="Times New Roman"/>
          <w:sz w:val="28"/>
          <w:szCs w:val="28"/>
        </w:rPr>
        <w:t>ая оценка качества управления</w:t>
      </w:r>
      <w:r w:rsidR="00B42A1B" w:rsidRPr="00B42A1B">
        <w:rPr>
          <w:rFonts w:ascii="Times New Roman" w:hAnsi="Times New Roman" w:cs="Times New Roman"/>
          <w:sz w:val="28"/>
          <w:szCs w:val="28"/>
        </w:rPr>
        <w:t xml:space="preserve"> – 99,8 баллов, минимальн</w:t>
      </w:r>
      <w:r w:rsidR="00CF0842">
        <w:rPr>
          <w:rFonts w:ascii="Times New Roman" w:hAnsi="Times New Roman" w:cs="Times New Roman"/>
          <w:sz w:val="28"/>
          <w:szCs w:val="28"/>
        </w:rPr>
        <w:t>ая</w:t>
      </w:r>
      <w:r w:rsidR="00B42A1B" w:rsidRPr="00B42A1B">
        <w:rPr>
          <w:rFonts w:ascii="Times New Roman" w:hAnsi="Times New Roman" w:cs="Times New Roman"/>
          <w:sz w:val="28"/>
          <w:szCs w:val="28"/>
        </w:rPr>
        <w:t xml:space="preserve"> – 79,0 баллов</w:t>
      </w:r>
      <w:r w:rsidR="003232A2">
        <w:rPr>
          <w:rFonts w:ascii="Times New Roman" w:hAnsi="Times New Roman" w:cs="Times New Roman"/>
          <w:sz w:val="28"/>
          <w:szCs w:val="28"/>
        </w:rPr>
        <w:t xml:space="preserve"> (отклонение от целевого значения – 1%)</w:t>
      </w:r>
      <w:r w:rsidR="00B42A1B" w:rsidRPr="00B42A1B">
        <w:rPr>
          <w:rFonts w:ascii="Times New Roman" w:hAnsi="Times New Roman" w:cs="Times New Roman"/>
          <w:sz w:val="28"/>
          <w:szCs w:val="28"/>
        </w:rPr>
        <w:t>.</w:t>
      </w:r>
      <w:r w:rsidR="00586F07" w:rsidRPr="00B42A1B">
        <w:rPr>
          <w:rFonts w:ascii="Times New Roman" w:hAnsi="Times New Roman" w:cs="Times New Roman"/>
          <w:sz w:val="28"/>
          <w:szCs w:val="28"/>
        </w:rPr>
        <w:t xml:space="preserve"> </w:t>
      </w:r>
      <w:r w:rsidR="00A01226">
        <w:rPr>
          <w:rFonts w:ascii="Times New Roman" w:hAnsi="Times New Roman" w:cs="Times New Roman"/>
          <w:sz w:val="28"/>
          <w:szCs w:val="28"/>
        </w:rPr>
        <w:t>Отклонени</w:t>
      </w:r>
      <w:r w:rsidR="00CF0842">
        <w:rPr>
          <w:rFonts w:ascii="Times New Roman" w:hAnsi="Times New Roman" w:cs="Times New Roman"/>
          <w:sz w:val="28"/>
          <w:szCs w:val="28"/>
        </w:rPr>
        <w:t>й</w:t>
      </w:r>
      <w:r w:rsidR="00A01226">
        <w:rPr>
          <w:rFonts w:ascii="Times New Roman" w:hAnsi="Times New Roman" w:cs="Times New Roman"/>
          <w:sz w:val="28"/>
          <w:szCs w:val="28"/>
        </w:rPr>
        <w:t xml:space="preserve"> оцен</w:t>
      </w:r>
      <w:r w:rsidR="00CF0842">
        <w:rPr>
          <w:rFonts w:ascii="Times New Roman" w:hAnsi="Times New Roman" w:cs="Times New Roman"/>
          <w:sz w:val="28"/>
          <w:szCs w:val="28"/>
        </w:rPr>
        <w:t>ок</w:t>
      </w:r>
      <w:r w:rsidR="00A01226">
        <w:rPr>
          <w:rFonts w:ascii="Times New Roman" w:hAnsi="Times New Roman" w:cs="Times New Roman"/>
          <w:sz w:val="28"/>
          <w:szCs w:val="28"/>
        </w:rPr>
        <w:t xml:space="preserve"> качества управления от целевого значени</w:t>
      </w:r>
      <w:r w:rsidR="006C671E">
        <w:rPr>
          <w:rFonts w:ascii="Times New Roman" w:hAnsi="Times New Roman" w:cs="Times New Roman"/>
          <w:sz w:val="28"/>
          <w:szCs w:val="28"/>
        </w:rPr>
        <w:t>я</w:t>
      </w:r>
      <w:r w:rsidR="00A01226">
        <w:rPr>
          <w:rFonts w:ascii="Times New Roman" w:hAnsi="Times New Roman" w:cs="Times New Roman"/>
          <w:sz w:val="28"/>
          <w:szCs w:val="28"/>
        </w:rPr>
        <w:t xml:space="preserve"> более чем на 25% </w:t>
      </w:r>
      <w:r w:rsidR="006C671E">
        <w:rPr>
          <w:rFonts w:ascii="Times New Roman" w:hAnsi="Times New Roman" w:cs="Times New Roman"/>
          <w:sz w:val="28"/>
          <w:szCs w:val="28"/>
        </w:rPr>
        <w:t xml:space="preserve">по исследуемым направлениям не </w:t>
      </w:r>
      <w:r w:rsidR="00A01226">
        <w:rPr>
          <w:rFonts w:ascii="Times New Roman" w:hAnsi="Times New Roman" w:cs="Times New Roman"/>
          <w:sz w:val="28"/>
          <w:szCs w:val="28"/>
        </w:rPr>
        <w:t>зафиксировано</w:t>
      </w:r>
      <w:r w:rsidR="00A01226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42A1B" w:rsidRDefault="000B22B6" w:rsidP="00B42A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A1B">
        <w:rPr>
          <w:rFonts w:ascii="Times New Roman" w:hAnsi="Times New Roman" w:cs="Times New Roman"/>
          <w:sz w:val="28"/>
          <w:szCs w:val="28"/>
        </w:rPr>
        <w:t xml:space="preserve">По результатам мониторинга качества финансового менеджмента по состоянию на </w:t>
      </w:r>
      <w:r w:rsidR="00AA61FE" w:rsidRPr="00B42A1B">
        <w:rPr>
          <w:rFonts w:ascii="Times New Roman" w:hAnsi="Times New Roman" w:cs="Times New Roman"/>
          <w:sz w:val="28"/>
          <w:szCs w:val="28"/>
        </w:rPr>
        <w:t>31.12.202</w:t>
      </w:r>
      <w:r w:rsidR="00B42A1B" w:rsidRPr="00B42A1B">
        <w:rPr>
          <w:rFonts w:ascii="Times New Roman" w:hAnsi="Times New Roman" w:cs="Times New Roman"/>
          <w:sz w:val="28"/>
          <w:szCs w:val="28"/>
        </w:rPr>
        <w:t>1</w:t>
      </w:r>
      <w:r w:rsidRPr="00B42A1B">
        <w:rPr>
          <w:rFonts w:ascii="Times New Roman" w:hAnsi="Times New Roman" w:cs="Times New Roman"/>
          <w:sz w:val="28"/>
          <w:szCs w:val="28"/>
        </w:rPr>
        <w:t xml:space="preserve"> </w:t>
      </w:r>
      <w:r w:rsidR="00AA61FE" w:rsidRPr="00B42A1B">
        <w:rPr>
          <w:rFonts w:ascii="Times New Roman" w:hAnsi="Times New Roman" w:cs="Times New Roman"/>
          <w:sz w:val="28"/>
          <w:szCs w:val="28"/>
        </w:rPr>
        <w:t>выстроен рейтинг</w:t>
      </w:r>
      <w:r w:rsidRPr="00B42A1B">
        <w:rPr>
          <w:rFonts w:ascii="Times New Roman" w:hAnsi="Times New Roman" w:cs="Times New Roman"/>
          <w:sz w:val="28"/>
          <w:szCs w:val="28"/>
        </w:rPr>
        <w:t xml:space="preserve"> </w:t>
      </w:r>
      <w:r w:rsidR="00AA61FE" w:rsidRPr="00B42A1B">
        <w:rPr>
          <w:rFonts w:ascii="Times New Roman" w:hAnsi="Times New Roman" w:cs="Times New Roman"/>
          <w:sz w:val="28"/>
          <w:szCs w:val="28"/>
        </w:rPr>
        <w:t xml:space="preserve">главных администраторов </w:t>
      </w:r>
      <w:r w:rsidR="003232A2">
        <w:rPr>
          <w:rFonts w:ascii="Times New Roman" w:hAnsi="Times New Roman" w:cs="Times New Roman"/>
          <w:sz w:val="28"/>
          <w:szCs w:val="28"/>
        </w:rPr>
        <w:t xml:space="preserve">средств городского бюджета </w:t>
      </w:r>
      <w:r w:rsidR="00AA61FE" w:rsidRPr="00B42A1B">
        <w:rPr>
          <w:rFonts w:ascii="Times New Roman" w:hAnsi="Times New Roman" w:cs="Times New Roman"/>
          <w:sz w:val="28"/>
          <w:szCs w:val="28"/>
        </w:rPr>
        <w:t xml:space="preserve">по уровню </w:t>
      </w:r>
      <w:r w:rsidRPr="00B42A1B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AA61FE" w:rsidRPr="00B42A1B">
        <w:rPr>
          <w:rFonts w:ascii="Times New Roman" w:hAnsi="Times New Roman" w:cs="Times New Roman"/>
          <w:sz w:val="28"/>
          <w:szCs w:val="28"/>
        </w:rPr>
        <w:t>качества финансового менеджмента</w:t>
      </w:r>
      <w:r w:rsidR="00B42A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2A1B" w:rsidRPr="00B42A1B" w:rsidRDefault="00B42A1B" w:rsidP="00B42A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первой группе «</w:t>
      </w:r>
      <w:r w:rsidRPr="00B42A1B">
        <w:rPr>
          <w:rFonts w:ascii="Times New Roman" w:hAnsi="Times New Roman" w:cs="Times New Roman"/>
          <w:sz w:val="28"/>
          <w:szCs w:val="28"/>
        </w:rPr>
        <w:t>Высокое качество финансового менеджмента» с диапазоном значений итоговых оценок качества финансового менеджмента от 90,1 до 100,0 баллов</w:t>
      </w:r>
      <w:r>
        <w:rPr>
          <w:rFonts w:ascii="Times New Roman" w:hAnsi="Times New Roman" w:cs="Times New Roman"/>
          <w:sz w:val="28"/>
          <w:szCs w:val="28"/>
        </w:rPr>
        <w:t>» отнесены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ККиС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F0842">
        <w:rPr>
          <w:rFonts w:ascii="Times New Roman" w:hAnsi="Times New Roman" w:cs="Times New Roman"/>
          <w:sz w:val="28"/>
          <w:szCs w:val="28"/>
        </w:rPr>
        <w:t xml:space="preserve"> (99,8 баллов)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32E32">
        <w:rPr>
          <w:rFonts w:ascii="Times New Roman" w:hAnsi="Times New Roman" w:cs="Times New Roman"/>
          <w:sz w:val="28"/>
          <w:szCs w:val="28"/>
        </w:rPr>
        <w:t>МКУ «УГОЧС»</w:t>
      </w:r>
      <w:r w:rsidR="00CF0842">
        <w:rPr>
          <w:rFonts w:ascii="Times New Roman" w:hAnsi="Times New Roman" w:cs="Times New Roman"/>
          <w:sz w:val="28"/>
          <w:szCs w:val="28"/>
        </w:rPr>
        <w:t xml:space="preserve"> (97,7 баллов)</w:t>
      </w:r>
      <w:r w:rsidR="00832E32">
        <w:rPr>
          <w:rFonts w:ascii="Times New Roman" w:hAnsi="Times New Roman" w:cs="Times New Roman"/>
          <w:sz w:val="28"/>
          <w:szCs w:val="28"/>
        </w:rPr>
        <w:t>, СНД</w:t>
      </w:r>
      <w:r w:rsidR="00CF0842">
        <w:rPr>
          <w:rFonts w:ascii="Times New Roman" w:hAnsi="Times New Roman" w:cs="Times New Roman"/>
          <w:sz w:val="28"/>
          <w:szCs w:val="28"/>
        </w:rPr>
        <w:t xml:space="preserve"> (97,5 баллов)</w:t>
      </w:r>
      <w:r w:rsidR="00832E32">
        <w:rPr>
          <w:rFonts w:ascii="Times New Roman" w:hAnsi="Times New Roman" w:cs="Times New Roman"/>
          <w:sz w:val="28"/>
          <w:szCs w:val="28"/>
        </w:rPr>
        <w:t>,</w:t>
      </w:r>
      <w:r w:rsidR="00832E32" w:rsidRPr="00832E32">
        <w:rPr>
          <w:rFonts w:ascii="Times New Roman" w:hAnsi="Times New Roman" w:cs="Times New Roman"/>
          <w:sz w:val="28"/>
          <w:szCs w:val="28"/>
        </w:rPr>
        <w:t xml:space="preserve"> </w:t>
      </w:r>
      <w:r w:rsidR="00832E32">
        <w:rPr>
          <w:rFonts w:ascii="Times New Roman" w:hAnsi="Times New Roman" w:cs="Times New Roman"/>
          <w:sz w:val="28"/>
          <w:szCs w:val="28"/>
        </w:rPr>
        <w:t>МКУ «УАЗ»</w:t>
      </w:r>
      <w:r w:rsidR="00CF0842">
        <w:rPr>
          <w:rFonts w:ascii="Times New Roman" w:hAnsi="Times New Roman" w:cs="Times New Roman"/>
          <w:sz w:val="28"/>
          <w:szCs w:val="28"/>
        </w:rPr>
        <w:t xml:space="preserve"> (94,3 балла)</w:t>
      </w:r>
      <w:r w:rsidR="00832E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CF0842">
        <w:rPr>
          <w:rFonts w:ascii="Times New Roman" w:hAnsi="Times New Roman" w:cs="Times New Roman"/>
          <w:sz w:val="28"/>
          <w:szCs w:val="28"/>
        </w:rPr>
        <w:t xml:space="preserve"> (93,1 балла)</w:t>
      </w:r>
      <w:r>
        <w:rPr>
          <w:rFonts w:ascii="Times New Roman" w:hAnsi="Times New Roman" w:cs="Times New Roman"/>
          <w:sz w:val="28"/>
          <w:szCs w:val="28"/>
        </w:rPr>
        <w:t>, управление образования</w:t>
      </w:r>
      <w:r w:rsidR="00CF0842">
        <w:rPr>
          <w:rFonts w:ascii="Times New Roman" w:hAnsi="Times New Roman" w:cs="Times New Roman"/>
          <w:sz w:val="28"/>
          <w:szCs w:val="28"/>
        </w:rPr>
        <w:t xml:space="preserve"> (90,0 баллов)</w:t>
      </w:r>
      <w:r>
        <w:rPr>
          <w:rFonts w:ascii="Times New Roman" w:hAnsi="Times New Roman" w:cs="Times New Roman"/>
          <w:sz w:val="28"/>
          <w:szCs w:val="28"/>
        </w:rPr>
        <w:t xml:space="preserve">. Ко второй группе </w:t>
      </w:r>
      <w:r w:rsidRPr="00B42A1B">
        <w:rPr>
          <w:rFonts w:ascii="Times New Roman" w:hAnsi="Times New Roman" w:cs="Times New Roman"/>
          <w:sz w:val="28"/>
          <w:szCs w:val="28"/>
        </w:rPr>
        <w:t>«Хорошее качество финансового менеджмента» с диапазоном значений итоговых оценок качества финансового менеджмента от 80,1 до 90,0 баллов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01226">
        <w:rPr>
          <w:rFonts w:ascii="Times New Roman" w:hAnsi="Times New Roman" w:cs="Times New Roman"/>
          <w:sz w:val="28"/>
          <w:szCs w:val="28"/>
        </w:rPr>
        <w:t xml:space="preserve"> отнесены </w:t>
      </w:r>
      <w:r w:rsidR="00832E32">
        <w:rPr>
          <w:rFonts w:ascii="Times New Roman" w:hAnsi="Times New Roman" w:cs="Times New Roman"/>
          <w:sz w:val="28"/>
          <w:szCs w:val="28"/>
        </w:rPr>
        <w:t>МКУ «Дорожник»</w:t>
      </w:r>
      <w:r w:rsidR="00CF0842">
        <w:rPr>
          <w:rFonts w:ascii="Times New Roman" w:hAnsi="Times New Roman" w:cs="Times New Roman"/>
          <w:sz w:val="28"/>
          <w:szCs w:val="28"/>
        </w:rPr>
        <w:t>(87,0 баллов)</w:t>
      </w:r>
      <w:r w:rsidR="00832E32">
        <w:rPr>
          <w:rFonts w:ascii="Times New Roman" w:hAnsi="Times New Roman" w:cs="Times New Roman"/>
          <w:sz w:val="28"/>
          <w:szCs w:val="28"/>
        </w:rPr>
        <w:t>, МКУ «ГКМХ»</w:t>
      </w:r>
      <w:r w:rsidR="00CF0842">
        <w:rPr>
          <w:rFonts w:ascii="Times New Roman" w:hAnsi="Times New Roman" w:cs="Times New Roman"/>
          <w:sz w:val="28"/>
          <w:szCs w:val="28"/>
        </w:rPr>
        <w:t xml:space="preserve"> (86,9 баллов)</w:t>
      </w:r>
      <w:r w:rsidR="00832E32">
        <w:rPr>
          <w:rFonts w:ascii="Times New Roman" w:hAnsi="Times New Roman" w:cs="Times New Roman"/>
          <w:sz w:val="28"/>
          <w:szCs w:val="28"/>
        </w:rPr>
        <w:t xml:space="preserve">, </w:t>
      </w:r>
      <w:r w:rsidR="00A01226">
        <w:rPr>
          <w:rFonts w:ascii="Times New Roman" w:hAnsi="Times New Roman" w:cs="Times New Roman"/>
          <w:sz w:val="28"/>
          <w:szCs w:val="28"/>
        </w:rPr>
        <w:t>КУМИ</w:t>
      </w:r>
      <w:r w:rsidR="00CF0842">
        <w:rPr>
          <w:rFonts w:ascii="Times New Roman" w:hAnsi="Times New Roman" w:cs="Times New Roman"/>
          <w:sz w:val="28"/>
          <w:szCs w:val="28"/>
        </w:rPr>
        <w:t xml:space="preserve"> (86,7 баллов)</w:t>
      </w:r>
      <w:r w:rsidR="00A01226">
        <w:rPr>
          <w:rFonts w:ascii="Times New Roman" w:hAnsi="Times New Roman" w:cs="Times New Roman"/>
          <w:sz w:val="28"/>
          <w:szCs w:val="28"/>
        </w:rPr>
        <w:t>.  К третьей группе «</w:t>
      </w:r>
      <w:r w:rsidR="00A01226" w:rsidRPr="00A01226">
        <w:rPr>
          <w:rFonts w:ascii="Times New Roman" w:hAnsi="Times New Roman" w:cs="Times New Roman"/>
          <w:sz w:val="28"/>
          <w:szCs w:val="28"/>
        </w:rPr>
        <w:t>Удовлетворительное качество финансового менеджмента» с диапазоном значений итоговых оценок качества финансового мен</w:t>
      </w:r>
      <w:r w:rsidR="00A01226">
        <w:rPr>
          <w:rFonts w:ascii="Times New Roman" w:hAnsi="Times New Roman" w:cs="Times New Roman"/>
          <w:sz w:val="28"/>
          <w:szCs w:val="28"/>
        </w:rPr>
        <w:t>еджмента от 60,1 до 80,0 баллов» отнесена администрация города</w:t>
      </w:r>
      <w:r w:rsidR="00CF0842">
        <w:rPr>
          <w:rFonts w:ascii="Times New Roman" w:hAnsi="Times New Roman" w:cs="Times New Roman"/>
          <w:sz w:val="28"/>
          <w:szCs w:val="28"/>
        </w:rPr>
        <w:t xml:space="preserve"> (79,0 баллов)</w:t>
      </w:r>
      <w:r w:rsidR="00A01226">
        <w:rPr>
          <w:rFonts w:ascii="Times New Roman" w:hAnsi="Times New Roman" w:cs="Times New Roman"/>
          <w:sz w:val="28"/>
          <w:szCs w:val="28"/>
        </w:rPr>
        <w:t>.</w:t>
      </w:r>
    </w:p>
    <w:p w:rsidR="000B22B6" w:rsidRDefault="000B22B6" w:rsidP="000B2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1226">
        <w:rPr>
          <w:rFonts w:ascii="Times New Roman" w:hAnsi="Times New Roman" w:cs="Times New Roman"/>
          <w:sz w:val="28"/>
          <w:szCs w:val="28"/>
        </w:rPr>
        <w:t xml:space="preserve">Распределение итоговых оценок качества финансового менеджмента главных администраторов в увязке с целевым </w:t>
      </w:r>
      <w:r w:rsidR="00805FBB" w:rsidRPr="00A01226">
        <w:rPr>
          <w:rFonts w:ascii="Times New Roman" w:hAnsi="Times New Roman" w:cs="Times New Roman"/>
          <w:sz w:val="28"/>
          <w:szCs w:val="28"/>
        </w:rPr>
        <w:t xml:space="preserve">и средним значением </w:t>
      </w:r>
      <w:r w:rsidRPr="00A01226">
        <w:rPr>
          <w:rFonts w:ascii="Times New Roman" w:hAnsi="Times New Roman" w:cs="Times New Roman"/>
          <w:sz w:val="28"/>
          <w:szCs w:val="28"/>
        </w:rPr>
        <w:t>итоговой оценки качества финансового менеджмента представлено на рисунке 1.</w:t>
      </w:r>
    </w:p>
    <w:p w:rsidR="00CF0842" w:rsidRPr="00CF0842" w:rsidRDefault="00CF0842" w:rsidP="000B2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0842">
        <w:rPr>
          <w:rFonts w:ascii="Times New Roman" w:hAnsi="Times New Roman" w:cs="Times New Roman"/>
          <w:sz w:val="28"/>
          <w:szCs w:val="28"/>
          <w:lang w:val="en-US"/>
        </w:rPr>
        <w:lastRenderedPageBreak/>
        <w:drawing>
          <wp:inline distT="0" distB="0" distL="0" distR="0">
            <wp:extent cx="5267325" cy="5019675"/>
            <wp:effectExtent l="1905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924552" cy="5429250"/>
                      <a:chOff x="0" y="0"/>
                      <a:chExt cx="5924552" cy="5429250"/>
                    </a:xfrm>
                  </a:grpSpPr>
                  <a:graphicFrame>
                    <a:nvGraphicFramePr>
                      <a:cNvPr id="10" name="Диаграмма 9"/>
                      <a:cNvGraphicFramePr/>
                    </a:nvGraphicFramePr>
                    <a:graphic>
                      <a:graphicData uri="http://schemas.openxmlformats.org/drawingml/2006/chart">
                        <c:chart xmlns:c="http://schemas.openxmlformats.org/drawingml/2006/chart" xmlns:r="http://schemas.openxmlformats.org/officeDocument/2006/relationships" r:id="rId8"/>
                      </a:graphicData>
                    </a:graphic>
                    <a:xfrm>
                      <a:off x="0" y="0"/>
                      <a:ext cx="5915026" cy="5429250"/>
                    </a:xfrm>
                  </a:graphicFrame>
                  <a:sp>
                    <a:nvSpPr>
                      <a:cNvPr id="24" name="TextBox 23"/>
                      <a:cNvSpPr txBox="1"/>
                    </a:nvSpPr>
                    <a:spPr>
                      <a:xfrm>
                        <a:off x="628652" y="3343275"/>
                        <a:ext cx="5295900" cy="20954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noFill/>
                      </a:ln>
                    </a:spPr>
                    <a:txSp>
                      <a:txBody>
                        <a:bodyPr vertOverflow="clip" wrap="square" rtlCol="0" anchor="t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000" baseline="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             7</a:t>
                          </a:r>
                          <a:r>
                            <a:rPr lang="en-US" sz="1000" baseline="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50</a:t>
                          </a:r>
                          <a:r>
                            <a:rPr lang="ru-RU" sz="1000" baseline="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           7</a:t>
                          </a:r>
                          <a:r>
                            <a:rPr lang="en-US" sz="1000" baseline="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20</a:t>
                          </a:r>
                          <a:r>
                            <a:rPr lang="ru-RU" sz="1000" baseline="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          7</a:t>
                          </a:r>
                          <a:r>
                            <a:rPr lang="en-US" sz="1000" baseline="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01</a:t>
                          </a:r>
                          <a:r>
                            <a:rPr lang="ru-RU" sz="1000" baseline="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           73</a:t>
                          </a:r>
                          <a:r>
                            <a:rPr lang="en-US" sz="1000" baseline="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4</a:t>
                          </a:r>
                          <a:r>
                            <a:rPr lang="ru-RU" sz="1000" baseline="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           7</a:t>
                          </a:r>
                          <a:r>
                            <a:rPr lang="en-US" sz="1000" baseline="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92</a:t>
                          </a:r>
                          <a:r>
                            <a:rPr lang="ru-RU" sz="1000" baseline="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          7</a:t>
                          </a:r>
                          <a:r>
                            <a:rPr lang="en-US" sz="1000" baseline="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70</a:t>
                          </a:r>
                          <a:r>
                            <a:rPr lang="ru-RU" sz="1000" baseline="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           7</a:t>
                          </a:r>
                          <a:r>
                            <a:rPr lang="en-US" sz="1000" baseline="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35</a:t>
                          </a:r>
                          <a:r>
                            <a:rPr lang="ru-RU" sz="1000" baseline="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           7</a:t>
                          </a:r>
                          <a:r>
                            <a:rPr lang="en-US" sz="1000" baseline="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33</a:t>
                          </a:r>
                          <a:r>
                            <a:rPr lang="ru-RU" sz="1000" baseline="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          7</a:t>
                          </a:r>
                          <a:r>
                            <a:rPr lang="en-US" sz="1000" baseline="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67</a:t>
                          </a:r>
                          <a:r>
                            <a:rPr lang="ru-RU" sz="1000" baseline="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           7</a:t>
                          </a:r>
                          <a:r>
                            <a:rPr lang="en-US" sz="1000" baseline="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0</a:t>
                          </a:r>
                          <a:r>
                            <a:rPr lang="ru-RU" sz="1000" baseline="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2</a:t>
                          </a: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A44173" w:rsidRPr="009957E0" w:rsidRDefault="00A44173" w:rsidP="00A012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96022" w:rsidRPr="00A01226" w:rsidRDefault="00496022" w:rsidP="00496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226">
        <w:rPr>
          <w:rFonts w:ascii="Times New Roman" w:hAnsi="Times New Roman" w:cs="Times New Roman"/>
          <w:sz w:val="28"/>
          <w:szCs w:val="28"/>
        </w:rPr>
        <w:t>Рисунок 1</w:t>
      </w:r>
    </w:p>
    <w:p w:rsidR="00496022" w:rsidRDefault="00496022" w:rsidP="00496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01EBC" w:rsidRPr="00C01EBC" w:rsidRDefault="00C01EBC" w:rsidP="00496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6022" w:rsidRPr="00A01226" w:rsidRDefault="00496022" w:rsidP="00496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26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</w:t>
      </w:r>
    </w:p>
    <w:p w:rsidR="00496022" w:rsidRPr="00A01226" w:rsidRDefault="00496022" w:rsidP="00496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26">
        <w:rPr>
          <w:rFonts w:ascii="Times New Roman" w:hAnsi="Times New Roman" w:cs="Times New Roman"/>
          <w:sz w:val="28"/>
          <w:szCs w:val="28"/>
        </w:rPr>
        <w:t xml:space="preserve">по финансам и экономике, </w:t>
      </w:r>
    </w:p>
    <w:p w:rsidR="00496022" w:rsidRPr="00A01226" w:rsidRDefault="00496022" w:rsidP="00496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26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A01226">
        <w:rPr>
          <w:rFonts w:ascii="Times New Roman" w:hAnsi="Times New Roman" w:cs="Times New Roman"/>
          <w:sz w:val="28"/>
          <w:szCs w:val="28"/>
        </w:rPr>
        <w:tab/>
      </w:r>
      <w:r w:rsidRPr="00A01226">
        <w:rPr>
          <w:rFonts w:ascii="Times New Roman" w:hAnsi="Times New Roman" w:cs="Times New Roman"/>
          <w:sz w:val="28"/>
          <w:szCs w:val="28"/>
        </w:rPr>
        <w:tab/>
      </w:r>
      <w:r w:rsidRPr="00A01226">
        <w:rPr>
          <w:rFonts w:ascii="Times New Roman" w:hAnsi="Times New Roman" w:cs="Times New Roman"/>
          <w:sz w:val="28"/>
          <w:szCs w:val="28"/>
        </w:rPr>
        <w:tab/>
      </w:r>
      <w:r w:rsidRPr="00A01226">
        <w:rPr>
          <w:rFonts w:ascii="Times New Roman" w:hAnsi="Times New Roman" w:cs="Times New Roman"/>
          <w:sz w:val="28"/>
          <w:szCs w:val="28"/>
        </w:rPr>
        <w:tab/>
        <w:t>О.М. Горшкова</w:t>
      </w:r>
    </w:p>
    <w:sectPr w:rsidR="00496022" w:rsidRPr="00A01226" w:rsidSect="00EC534C">
      <w:footerReference w:type="default" r:id="rId9"/>
      <w:pgSz w:w="11906" w:h="16838"/>
      <w:pgMar w:top="851" w:right="851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A97" w:rsidRDefault="00D71A97" w:rsidP="00EC534C">
      <w:pPr>
        <w:spacing w:after="0" w:line="240" w:lineRule="auto"/>
      </w:pPr>
      <w:r>
        <w:separator/>
      </w:r>
    </w:p>
  </w:endnote>
  <w:endnote w:type="continuationSeparator" w:id="0">
    <w:p w:rsidR="00D71A97" w:rsidRDefault="00D71A97" w:rsidP="00EC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978172"/>
      <w:docPartObj>
        <w:docPartGallery w:val="Page Numbers (Bottom of Page)"/>
        <w:docPartUnique/>
      </w:docPartObj>
    </w:sdtPr>
    <w:sdtContent>
      <w:p w:rsidR="00E533B8" w:rsidRDefault="00E533B8">
        <w:pPr>
          <w:pStyle w:val="a9"/>
          <w:jc w:val="center"/>
        </w:pPr>
        <w:r w:rsidRPr="00EC534C">
          <w:rPr>
            <w:rFonts w:ascii="Times New Roman" w:hAnsi="Times New Roman" w:cs="Times New Roman"/>
          </w:rPr>
          <w:fldChar w:fldCharType="begin"/>
        </w:r>
        <w:r w:rsidRPr="00EC534C">
          <w:rPr>
            <w:rFonts w:ascii="Times New Roman" w:hAnsi="Times New Roman" w:cs="Times New Roman"/>
          </w:rPr>
          <w:instrText xml:space="preserve"> PAGE   \* MERGEFORMAT </w:instrText>
        </w:r>
        <w:r w:rsidRPr="00EC534C">
          <w:rPr>
            <w:rFonts w:ascii="Times New Roman" w:hAnsi="Times New Roman" w:cs="Times New Roman"/>
          </w:rPr>
          <w:fldChar w:fldCharType="separate"/>
        </w:r>
        <w:r w:rsidR="00C01EBC">
          <w:rPr>
            <w:rFonts w:ascii="Times New Roman" w:hAnsi="Times New Roman" w:cs="Times New Roman"/>
            <w:noProof/>
          </w:rPr>
          <w:t>10</w:t>
        </w:r>
        <w:r w:rsidRPr="00EC534C">
          <w:rPr>
            <w:rFonts w:ascii="Times New Roman" w:hAnsi="Times New Roman" w:cs="Times New Roman"/>
          </w:rPr>
          <w:fldChar w:fldCharType="end"/>
        </w:r>
      </w:p>
    </w:sdtContent>
  </w:sdt>
  <w:p w:rsidR="00E533B8" w:rsidRDefault="00E533B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A97" w:rsidRDefault="00D71A97" w:rsidP="00EC534C">
      <w:pPr>
        <w:spacing w:after="0" w:line="240" w:lineRule="auto"/>
      </w:pPr>
      <w:r>
        <w:separator/>
      </w:r>
    </w:p>
  </w:footnote>
  <w:footnote w:type="continuationSeparator" w:id="0">
    <w:p w:rsidR="00D71A97" w:rsidRDefault="00D71A97" w:rsidP="00EC5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ABA"/>
    <w:multiLevelType w:val="hybridMultilevel"/>
    <w:tmpl w:val="F1004DE2"/>
    <w:lvl w:ilvl="0" w:tplc="B882C89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C3C77"/>
    <w:multiLevelType w:val="hybridMultilevel"/>
    <w:tmpl w:val="26AE4D32"/>
    <w:lvl w:ilvl="0" w:tplc="E98C6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E15E5"/>
    <w:rsid w:val="00003011"/>
    <w:rsid w:val="000126FE"/>
    <w:rsid w:val="00041AEE"/>
    <w:rsid w:val="00051E58"/>
    <w:rsid w:val="00074F62"/>
    <w:rsid w:val="00075D9C"/>
    <w:rsid w:val="000B22B6"/>
    <w:rsid w:val="000B45C3"/>
    <w:rsid w:val="000D40BE"/>
    <w:rsid w:val="000E0938"/>
    <w:rsid w:val="000F4583"/>
    <w:rsid w:val="000F7D61"/>
    <w:rsid w:val="0010215E"/>
    <w:rsid w:val="001120FC"/>
    <w:rsid w:val="0013111E"/>
    <w:rsid w:val="0013270A"/>
    <w:rsid w:val="001418A1"/>
    <w:rsid w:val="00150F23"/>
    <w:rsid w:val="00156466"/>
    <w:rsid w:val="00156D5A"/>
    <w:rsid w:val="00167512"/>
    <w:rsid w:val="00171B2C"/>
    <w:rsid w:val="001954D3"/>
    <w:rsid w:val="001E094C"/>
    <w:rsid w:val="001E0CAD"/>
    <w:rsid w:val="001F03F2"/>
    <w:rsid w:val="001F217B"/>
    <w:rsid w:val="00224FDC"/>
    <w:rsid w:val="00225777"/>
    <w:rsid w:val="00233439"/>
    <w:rsid w:val="00233F50"/>
    <w:rsid w:val="002373C0"/>
    <w:rsid w:val="0026288F"/>
    <w:rsid w:val="00272E40"/>
    <w:rsid w:val="00281CFD"/>
    <w:rsid w:val="00290D76"/>
    <w:rsid w:val="00292760"/>
    <w:rsid w:val="002A6310"/>
    <w:rsid w:val="002B5506"/>
    <w:rsid w:val="002C77C3"/>
    <w:rsid w:val="002D08AC"/>
    <w:rsid w:val="002D73BB"/>
    <w:rsid w:val="002E2D0C"/>
    <w:rsid w:val="002F6230"/>
    <w:rsid w:val="002F648A"/>
    <w:rsid w:val="003109CB"/>
    <w:rsid w:val="003172BF"/>
    <w:rsid w:val="003232A2"/>
    <w:rsid w:val="00324AF6"/>
    <w:rsid w:val="0034530B"/>
    <w:rsid w:val="003465AE"/>
    <w:rsid w:val="00352543"/>
    <w:rsid w:val="00363A6A"/>
    <w:rsid w:val="00374844"/>
    <w:rsid w:val="0038170C"/>
    <w:rsid w:val="003912E2"/>
    <w:rsid w:val="003B087D"/>
    <w:rsid w:val="003B3CA6"/>
    <w:rsid w:val="003D46C9"/>
    <w:rsid w:val="003E15E5"/>
    <w:rsid w:val="003E1B71"/>
    <w:rsid w:val="003E1C5C"/>
    <w:rsid w:val="003E411F"/>
    <w:rsid w:val="00422CC7"/>
    <w:rsid w:val="00424A8D"/>
    <w:rsid w:val="00427DAE"/>
    <w:rsid w:val="004360D8"/>
    <w:rsid w:val="00450758"/>
    <w:rsid w:val="004627BE"/>
    <w:rsid w:val="004710E7"/>
    <w:rsid w:val="00472888"/>
    <w:rsid w:val="00487ADF"/>
    <w:rsid w:val="00491279"/>
    <w:rsid w:val="00491A5D"/>
    <w:rsid w:val="0049436D"/>
    <w:rsid w:val="00496022"/>
    <w:rsid w:val="004A112E"/>
    <w:rsid w:val="004A3883"/>
    <w:rsid w:val="004E3591"/>
    <w:rsid w:val="004F0106"/>
    <w:rsid w:val="005378C5"/>
    <w:rsid w:val="00571F2C"/>
    <w:rsid w:val="00586F07"/>
    <w:rsid w:val="00596939"/>
    <w:rsid w:val="00596A3F"/>
    <w:rsid w:val="005B38BF"/>
    <w:rsid w:val="005B62E3"/>
    <w:rsid w:val="005C47AC"/>
    <w:rsid w:val="005D30F8"/>
    <w:rsid w:val="005E086D"/>
    <w:rsid w:val="005E32EE"/>
    <w:rsid w:val="005F5103"/>
    <w:rsid w:val="00602E70"/>
    <w:rsid w:val="00604F70"/>
    <w:rsid w:val="0061209B"/>
    <w:rsid w:val="006231CA"/>
    <w:rsid w:val="0062331A"/>
    <w:rsid w:val="00663718"/>
    <w:rsid w:val="006674F6"/>
    <w:rsid w:val="006810BE"/>
    <w:rsid w:val="006848B1"/>
    <w:rsid w:val="006963DF"/>
    <w:rsid w:val="006A4ED3"/>
    <w:rsid w:val="006A5A34"/>
    <w:rsid w:val="006B7F73"/>
    <w:rsid w:val="006C671E"/>
    <w:rsid w:val="006D0804"/>
    <w:rsid w:val="006D64F5"/>
    <w:rsid w:val="006E0D9F"/>
    <w:rsid w:val="006E1C79"/>
    <w:rsid w:val="00727882"/>
    <w:rsid w:val="00727A7E"/>
    <w:rsid w:val="00755B60"/>
    <w:rsid w:val="007746C9"/>
    <w:rsid w:val="00782489"/>
    <w:rsid w:val="00792821"/>
    <w:rsid w:val="007B3759"/>
    <w:rsid w:val="007B4C81"/>
    <w:rsid w:val="007C72F3"/>
    <w:rsid w:val="007F05D3"/>
    <w:rsid w:val="00805FBB"/>
    <w:rsid w:val="00816DD0"/>
    <w:rsid w:val="00832E32"/>
    <w:rsid w:val="00857436"/>
    <w:rsid w:val="00892BD8"/>
    <w:rsid w:val="00894848"/>
    <w:rsid w:val="00897BA8"/>
    <w:rsid w:val="008A2E0B"/>
    <w:rsid w:val="008C58ED"/>
    <w:rsid w:val="008D6E84"/>
    <w:rsid w:val="008E4CB6"/>
    <w:rsid w:val="00903FF3"/>
    <w:rsid w:val="009128BD"/>
    <w:rsid w:val="009228EC"/>
    <w:rsid w:val="00943A5C"/>
    <w:rsid w:val="009456E4"/>
    <w:rsid w:val="00957D26"/>
    <w:rsid w:val="009611BC"/>
    <w:rsid w:val="00964E1E"/>
    <w:rsid w:val="00993AD1"/>
    <w:rsid w:val="009957E0"/>
    <w:rsid w:val="009A5FEF"/>
    <w:rsid w:val="009E3181"/>
    <w:rsid w:val="009F4954"/>
    <w:rsid w:val="00A01226"/>
    <w:rsid w:val="00A32067"/>
    <w:rsid w:val="00A33C8F"/>
    <w:rsid w:val="00A43BDC"/>
    <w:rsid w:val="00A44173"/>
    <w:rsid w:val="00A45F70"/>
    <w:rsid w:val="00A62BAC"/>
    <w:rsid w:val="00A74D0E"/>
    <w:rsid w:val="00A877B1"/>
    <w:rsid w:val="00AA61FE"/>
    <w:rsid w:val="00AC0851"/>
    <w:rsid w:val="00AC127A"/>
    <w:rsid w:val="00AE3AC4"/>
    <w:rsid w:val="00AF2EFD"/>
    <w:rsid w:val="00B01A28"/>
    <w:rsid w:val="00B02A79"/>
    <w:rsid w:val="00B07420"/>
    <w:rsid w:val="00B1053F"/>
    <w:rsid w:val="00B42A1B"/>
    <w:rsid w:val="00B83F09"/>
    <w:rsid w:val="00B85110"/>
    <w:rsid w:val="00B87E65"/>
    <w:rsid w:val="00B90004"/>
    <w:rsid w:val="00B905AD"/>
    <w:rsid w:val="00B95117"/>
    <w:rsid w:val="00BB5B91"/>
    <w:rsid w:val="00BC1146"/>
    <w:rsid w:val="00BC16EB"/>
    <w:rsid w:val="00BF3AE5"/>
    <w:rsid w:val="00BF505E"/>
    <w:rsid w:val="00C01EBC"/>
    <w:rsid w:val="00C37160"/>
    <w:rsid w:val="00C64C1D"/>
    <w:rsid w:val="00C82048"/>
    <w:rsid w:val="00C9738B"/>
    <w:rsid w:val="00CA099D"/>
    <w:rsid w:val="00CA48B2"/>
    <w:rsid w:val="00CB05C0"/>
    <w:rsid w:val="00CC76D0"/>
    <w:rsid w:val="00CD19E1"/>
    <w:rsid w:val="00CD58DB"/>
    <w:rsid w:val="00CF0842"/>
    <w:rsid w:val="00D04BAF"/>
    <w:rsid w:val="00D053FF"/>
    <w:rsid w:val="00D12DAE"/>
    <w:rsid w:val="00D165BA"/>
    <w:rsid w:val="00D36F2D"/>
    <w:rsid w:val="00D424DD"/>
    <w:rsid w:val="00D568E7"/>
    <w:rsid w:val="00D615A2"/>
    <w:rsid w:val="00D6571B"/>
    <w:rsid w:val="00D70D47"/>
    <w:rsid w:val="00D71A97"/>
    <w:rsid w:val="00D73368"/>
    <w:rsid w:val="00D763C6"/>
    <w:rsid w:val="00D82A4F"/>
    <w:rsid w:val="00D969C1"/>
    <w:rsid w:val="00D979DD"/>
    <w:rsid w:val="00DA3842"/>
    <w:rsid w:val="00DA609A"/>
    <w:rsid w:val="00DC355C"/>
    <w:rsid w:val="00DC6006"/>
    <w:rsid w:val="00DC7976"/>
    <w:rsid w:val="00E06379"/>
    <w:rsid w:val="00E30E29"/>
    <w:rsid w:val="00E533B8"/>
    <w:rsid w:val="00E56686"/>
    <w:rsid w:val="00E601A9"/>
    <w:rsid w:val="00E72EA7"/>
    <w:rsid w:val="00E7587E"/>
    <w:rsid w:val="00E77F4E"/>
    <w:rsid w:val="00E83E37"/>
    <w:rsid w:val="00E9155E"/>
    <w:rsid w:val="00E93EB1"/>
    <w:rsid w:val="00E96D33"/>
    <w:rsid w:val="00EA2D8E"/>
    <w:rsid w:val="00EB6134"/>
    <w:rsid w:val="00EC21D6"/>
    <w:rsid w:val="00EC534C"/>
    <w:rsid w:val="00EC5B4C"/>
    <w:rsid w:val="00ED19CB"/>
    <w:rsid w:val="00ED3326"/>
    <w:rsid w:val="00F10C90"/>
    <w:rsid w:val="00F12626"/>
    <w:rsid w:val="00F35CBD"/>
    <w:rsid w:val="00F35DEB"/>
    <w:rsid w:val="00F86289"/>
    <w:rsid w:val="00FC1F3F"/>
    <w:rsid w:val="00FE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77"/>
  </w:style>
  <w:style w:type="paragraph" w:styleId="1">
    <w:name w:val="heading 1"/>
    <w:basedOn w:val="a"/>
    <w:link w:val="10"/>
    <w:uiPriority w:val="9"/>
    <w:qFormat/>
    <w:rsid w:val="005F51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8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84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B22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4A3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6">
    <w:name w:val="Table Grid"/>
    <w:basedOn w:val="a1"/>
    <w:uiPriority w:val="59"/>
    <w:rsid w:val="00496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C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534C"/>
  </w:style>
  <w:style w:type="paragraph" w:styleId="a9">
    <w:name w:val="footer"/>
    <w:basedOn w:val="a"/>
    <w:link w:val="aa"/>
    <w:uiPriority w:val="99"/>
    <w:unhideWhenUsed/>
    <w:rsid w:val="00EC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534C"/>
  </w:style>
  <w:style w:type="character" w:customStyle="1" w:styleId="10">
    <w:name w:val="Заголовок 1 Знак"/>
    <w:basedOn w:val="a0"/>
    <w:link w:val="1"/>
    <w:uiPriority w:val="9"/>
    <w:rsid w:val="005F510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8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5;&#1072;&#1103;\&#1052;&#1086;&#1085;&#1080;&#1090;&#1086;&#1088;&#1080;&#1085;&#1075;%20&#1092;&#1080;&#1085;&#1072;&#1085;&#1089;&#1086;&#1074;&#1086;&#1075;&#1086;%20&#1084;&#1077;&#1085;&#1077;&#1076;&#1078;&#1084;&#1077;&#1085;&#1090;&#1072;\2021\&#1054;&#1090;&#1095;&#1077;&#1090;%20&#1085;&#1072;%2001.01.2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scatterChart>
        <c:scatterStyle val="smoothMarker"/>
        <c:ser>
          <c:idx val="1"/>
          <c:order val="1"/>
          <c:tx>
            <c:strRef>
              <c:f>Диаграмма!$F$5</c:f>
              <c:strCache>
                <c:ptCount val="1"/>
                <c:pt idx="0">
                  <c:v>Целевое значение итоговой оценки качества финансового менеджмента </c:v>
                </c:pt>
              </c:strCache>
            </c:strRef>
          </c:tx>
          <c:spPr>
            <a:ln w="28575"/>
          </c:spPr>
          <c:marker>
            <c:symbol val="none"/>
          </c:marker>
          <c:yVal>
            <c:numRef>
              <c:f>Диаграмма!$H$8:$H$17</c:f>
              <c:numCache>
                <c:formatCode>0</c:formatCode>
                <c:ptCount val="10"/>
                <c:pt idx="0">
                  <c:v>80</c:v>
                </c:pt>
                <c:pt idx="1">
                  <c:v>80</c:v>
                </c:pt>
                <c:pt idx="2">
                  <c:v>80</c:v>
                </c:pt>
                <c:pt idx="3">
                  <c:v>80</c:v>
                </c:pt>
                <c:pt idx="4">
                  <c:v>80</c:v>
                </c:pt>
                <c:pt idx="5">
                  <c:v>80</c:v>
                </c:pt>
                <c:pt idx="6">
                  <c:v>80</c:v>
                </c:pt>
                <c:pt idx="7">
                  <c:v>80</c:v>
                </c:pt>
                <c:pt idx="8">
                  <c:v>80</c:v>
                </c:pt>
                <c:pt idx="9">
                  <c:v>80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Диаграмма!$F$6</c:f>
              <c:strCache>
                <c:ptCount val="1"/>
                <c:pt idx="0">
                  <c:v>Средняя оценка качества финансового менеджмента</c:v>
                </c:pt>
              </c:strCache>
            </c:strRef>
          </c:tx>
          <c:spPr>
            <a:ln>
              <a:prstDash val="sysDash"/>
            </a:ln>
          </c:spPr>
          <c:marker>
            <c:symbol val="none"/>
          </c:marker>
          <c:yVal>
            <c:numRef>
              <c:f>Диаграмма!$G$8:$G$17</c:f>
              <c:numCache>
                <c:formatCode>0</c:formatCode>
                <c:ptCount val="10"/>
                <c:pt idx="0">
                  <c:v>91.200000000000017</c:v>
                </c:pt>
                <c:pt idx="1">
                  <c:v>91.200000000000017</c:v>
                </c:pt>
                <c:pt idx="2">
                  <c:v>91.200000000000017</c:v>
                </c:pt>
                <c:pt idx="3">
                  <c:v>91.200000000000017</c:v>
                </c:pt>
                <c:pt idx="4">
                  <c:v>91.200000000000017</c:v>
                </c:pt>
                <c:pt idx="5">
                  <c:v>91.200000000000017</c:v>
                </c:pt>
                <c:pt idx="6">
                  <c:v>91.200000000000017</c:v>
                </c:pt>
                <c:pt idx="7">
                  <c:v>91.200000000000017</c:v>
                </c:pt>
                <c:pt idx="8">
                  <c:v>91.200000000000017</c:v>
                </c:pt>
                <c:pt idx="9">
                  <c:v>91.200000000000017</c:v>
                </c:pt>
              </c:numCache>
            </c:numRef>
          </c:yVal>
          <c:smooth val="1"/>
        </c:ser>
        <c:axId val="50662784"/>
        <c:axId val="50771072"/>
      </c:scatterChart>
      <c:scatterChart>
        <c:scatterStyle val="lineMarker"/>
        <c:ser>
          <c:idx val="0"/>
          <c:order val="0"/>
          <c:tx>
            <c:strRef>
              <c:f>Диаграмма!$F$2</c:f>
              <c:strCache>
                <c:ptCount val="1"/>
                <c:pt idx="0">
                  <c:v>Итоговые оценки качества финансового менеджмента (высокое качество управления)</c:v>
                </c:pt>
              </c:strCache>
            </c:strRef>
          </c:tx>
          <c:spPr>
            <a:ln w="28575">
              <a:noFill/>
            </a:ln>
          </c:spPr>
          <c:marker>
            <c:spPr>
              <a:ln w="38100"/>
            </c:spPr>
          </c:marker>
          <c:xVal>
            <c:numRef>
              <c:f>Диаграмма!$I$8:$I$13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xVal>
          <c:yVal>
            <c:numRef>
              <c:f>Диаграмма!$F$8:$F$13</c:f>
              <c:numCache>
                <c:formatCode>0.0</c:formatCode>
                <c:ptCount val="6"/>
                <c:pt idx="0">
                  <c:v>99.8</c:v>
                </c:pt>
                <c:pt idx="1">
                  <c:v>97.7</c:v>
                </c:pt>
                <c:pt idx="2">
                  <c:v>97.5</c:v>
                </c:pt>
                <c:pt idx="3">
                  <c:v>94.3</c:v>
                </c:pt>
                <c:pt idx="4">
                  <c:v>93.1</c:v>
                </c:pt>
                <c:pt idx="5">
                  <c:v>90</c:v>
                </c:pt>
              </c:numCache>
            </c:numRef>
          </c:yVal>
        </c:ser>
        <c:ser>
          <c:idx val="3"/>
          <c:order val="3"/>
          <c:tx>
            <c:strRef>
              <c:f>Диаграмма!$F$3</c:f>
              <c:strCache>
                <c:ptCount val="1"/>
                <c:pt idx="0">
                  <c:v>Итоговые оценки качества финансового менеджмента (хорошее качество управления)</c:v>
                </c:pt>
              </c:strCache>
            </c:strRef>
          </c:tx>
          <c:spPr>
            <a:ln w="28575">
              <a:noFill/>
            </a:ln>
          </c:spPr>
          <c:marker>
            <c:symbol val="triangle"/>
            <c:size val="7"/>
          </c:marker>
          <c:xVal>
            <c:numRef>
              <c:f>Диаграмма!$I$14:$I$16</c:f>
              <c:numCache>
                <c:formatCode>General</c:formatCode>
                <c:ptCount val="3"/>
                <c:pt idx="0">
                  <c:v>7</c:v>
                </c:pt>
                <c:pt idx="1">
                  <c:v>8</c:v>
                </c:pt>
                <c:pt idx="2">
                  <c:v>9</c:v>
                </c:pt>
              </c:numCache>
            </c:numRef>
          </c:xVal>
          <c:yVal>
            <c:numRef>
              <c:f>Диаграмма!$F$14:$F$16</c:f>
              <c:numCache>
                <c:formatCode>0.0</c:formatCode>
                <c:ptCount val="3"/>
                <c:pt idx="0">
                  <c:v>87</c:v>
                </c:pt>
                <c:pt idx="1">
                  <c:v>86.9</c:v>
                </c:pt>
                <c:pt idx="2">
                  <c:v>86.7</c:v>
                </c:pt>
              </c:numCache>
            </c:numRef>
          </c:yVal>
        </c:ser>
        <c:ser>
          <c:idx val="4"/>
          <c:order val="4"/>
          <c:tx>
            <c:strRef>
              <c:f>Диаграмма!$F$4</c:f>
              <c:strCache>
                <c:ptCount val="1"/>
                <c:pt idx="0">
                  <c:v>Итоговые оценки качества финансового менеджмента (удовлетворительное качество управления)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7"/>
          </c:marker>
          <c:xVal>
            <c:numRef>
              <c:f>Диаграмма!$I$17</c:f>
              <c:numCache>
                <c:formatCode>General</c:formatCode>
                <c:ptCount val="1"/>
                <c:pt idx="0">
                  <c:v>10</c:v>
                </c:pt>
              </c:numCache>
            </c:numRef>
          </c:xVal>
          <c:yVal>
            <c:numRef>
              <c:f>Диаграмма!$F$17</c:f>
              <c:numCache>
                <c:formatCode>0.0</c:formatCode>
                <c:ptCount val="1"/>
                <c:pt idx="0">
                  <c:v>79</c:v>
                </c:pt>
              </c:numCache>
            </c:numRef>
          </c:yVal>
        </c:ser>
        <c:axId val="50662784"/>
        <c:axId val="50771072"/>
      </c:scatterChart>
      <c:valAx>
        <c:axId val="50662784"/>
        <c:scaling>
          <c:orientation val="minMax"/>
          <c:max val="10"/>
        </c:scaling>
        <c:axPos val="b"/>
        <c:majorGridlines/>
        <c:numFmt formatCode="General" sourceLinked="1"/>
        <c:tickLblPos val="nextTo"/>
        <c:crossAx val="50771072"/>
        <c:crosses val="autoZero"/>
        <c:crossBetween val="midCat"/>
        <c:majorUnit val="1"/>
      </c:valAx>
      <c:valAx>
        <c:axId val="50771072"/>
        <c:scaling>
          <c:orientation val="minMax"/>
          <c:max val="100"/>
          <c:min val="7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Баллы</a:t>
                </a:r>
              </a:p>
            </c:rich>
          </c:tx>
        </c:title>
        <c:numFmt formatCode="0" sourceLinked="1"/>
        <c:tickLblPos val="nextTo"/>
        <c:crossAx val="50662784"/>
        <c:crosses val="autoZero"/>
        <c:crossBetween val="midCat"/>
      </c:valAx>
    </c:plotArea>
    <c:legend>
      <c:legendPos val="b"/>
      <c:layout>
        <c:manualLayout>
          <c:xMode val="edge"/>
          <c:yMode val="edge"/>
          <c:x val="6.8019312172085108E-2"/>
          <c:y val="0.66492112170189299"/>
          <c:w val="0.86396120659486608"/>
          <c:h val="0.33507887829810795"/>
        </c:manualLayout>
      </c:layout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43BF6-2BF2-4E89-BA3C-B035FFC26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1723</TotalTime>
  <Pages>10</Pages>
  <Words>3480</Words>
  <Characters>19836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23270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finupr</cp:lastModifiedBy>
  <cp:revision>17</cp:revision>
  <cp:lastPrinted>2021-03-04T07:31:00Z</cp:lastPrinted>
  <dcterms:created xsi:type="dcterms:W3CDTF">2022-06-08T10:48:00Z</dcterms:created>
  <dcterms:modified xsi:type="dcterms:W3CDTF">2022-06-21T08:46:00Z</dcterms:modified>
</cp:coreProperties>
</file>