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4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B22B6" w:rsidRPr="000B22B6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>Отчету о результатах мониторинга качества финансового менеджмента в отношении главных администраторов средств бюджета ЗАТО г. Радужный Владимирской области за 202</w:t>
      </w:r>
      <w:r w:rsidR="00220C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81" w:rsidRDefault="00596A3F" w:rsidP="0059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0A3D">
        <w:rPr>
          <w:rFonts w:ascii="Times New Roman" w:hAnsi="Times New Roman" w:cs="Times New Roman"/>
          <w:sz w:val="28"/>
          <w:szCs w:val="28"/>
        </w:rPr>
        <w:t>11</w:t>
      </w:r>
      <w:r w:rsidR="0034530B">
        <w:rPr>
          <w:rFonts w:ascii="Times New Roman" w:hAnsi="Times New Roman" w:cs="Times New Roman"/>
          <w:sz w:val="28"/>
          <w:szCs w:val="28"/>
        </w:rPr>
        <w:t xml:space="preserve"> июня</w:t>
      </w:r>
      <w:r w:rsidR="00EC534C">
        <w:rPr>
          <w:rFonts w:ascii="Times New Roman" w:hAnsi="Times New Roman" w:cs="Times New Roman"/>
          <w:sz w:val="28"/>
          <w:szCs w:val="28"/>
        </w:rPr>
        <w:t xml:space="preserve"> 202</w:t>
      </w:r>
      <w:r w:rsidR="00220CDB">
        <w:rPr>
          <w:rFonts w:ascii="Times New Roman" w:hAnsi="Times New Roman" w:cs="Times New Roman"/>
          <w:sz w:val="28"/>
          <w:szCs w:val="28"/>
        </w:rPr>
        <w:t>4</w:t>
      </w:r>
      <w:r w:rsidR="003453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E70" w:rsidRPr="00602E70" w:rsidRDefault="00602E70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2B6" w:rsidRPr="009957E0" w:rsidRDefault="000B22B6" w:rsidP="0059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менеджмента, осуществляемого 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городского бюджета, главными распорядителями (распорядителями) средств городского бюджета, главными администраторами (администраторами) источников финансирования дефицита городского бюджета (далее </w:t>
      </w:r>
      <w:r w:rsidR="00596A3F">
        <w:rPr>
          <w:rFonts w:ascii="Times New Roman" w:hAnsi="Times New Roman" w:cs="Times New Roman"/>
          <w:sz w:val="28"/>
          <w:szCs w:val="28"/>
        </w:rPr>
        <w:t>–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 главные администраторы средств городского бюджета)</w:t>
      </w:r>
      <w:r w:rsidRPr="009957E0">
        <w:rPr>
          <w:rFonts w:ascii="Times New Roman" w:hAnsi="Times New Roman" w:cs="Times New Roman"/>
          <w:sz w:val="28"/>
          <w:szCs w:val="28"/>
        </w:rPr>
        <w:t>, за 202</w:t>
      </w:r>
      <w:r w:rsidR="00220CDB">
        <w:rPr>
          <w:rFonts w:ascii="Times New Roman" w:hAnsi="Times New Roman" w:cs="Times New Roman"/>
          <w:sz w:val="28"/>
          <w:szCs w:val="28"/>
        </w:rPr>
        <w:t>3</w:t>
      </w:r>
      <w:r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0F7D61">
        <w:rPr>
          <w:rFonts w:ascii="Times New Roman" w:hAnsi="Times New Roman" w:cs="Times New Roman"/>
          <w:sz w:val="28"/>
          <w:szCs w:val="28"/>
        </w:rPr>
        <w:t>осуществлен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мониторинга качества финансового менеджмента в отношении главных администраторов средств бюджета ЗАТО</w:t>
      </w:r>
      <w:r w:rsidR="00080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57E0">
        <w:rPr>
          <w:rFonts w:ascii="Times New Roman" w:hAnsi="Times New Roman" w:cs="Times New Roman"/>
          <w:sz w:val="28"/>
          <w:szCs w:val="28"/>
        </w:rPr>
        <w:t>г. Радужный Владимирской области, утвержденным приказом финансового управления администрации ЗАТО г. Раду</w:t>
      </w:r>
      <w:r w:rsidR="009E131F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17 сентября </w:t>
      </w:r>
      <w:r w:rsidRPr="009957E0">
        <w:rPr>
          <w:rFonts w:ascii="Times New Roman" w:hAnsi="Times New Roman" w:cs="Times New Roman"/>
          <w:sz w:val="28"/>
          <w:szCs w:val="28"/>
        </w:rPr>
        <w:t xml:space="preserve">2020 </w:t>
      </w:r>
      <w:r w:rsidR="009E131F">
        <w:rPr>
          <w:rFonts w:ascii="Times New Roman" w:hAnsi="Times New Roman" w:cs="Times New Roman"/>
          <w:sz w:val="28"/>
          <w:szCs w:val="28"/>
        </w:rPr>
        <w:t>г</w:t>
      </w:r>
      <w:r w:rsidR="00080017">
        <w:rPr>
          <w:rFonts w:ascii="Times New Roman" w:hAnsi="Times New Roman" w:cs="Times New Roman"/>
          <w:sz w:val="28"/>
          <w:szCs w:val="28"/>
        </w:rPr>
        <w:t>.</w:t>
      </w:r>
      <w:r w:rsidR="009E131F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>№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>64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957E0">
        <w:rPr>
          <w:rFonts w:ascii="Times New Roman" w:hAnsi="Times New Roman" w:cs="Times New Roman"/>
          <w:sz w:val="28"/>
          <w:szCs w:val="28"/>
        </w:rPr>
        <w:t xml:space="preserve">, </w:t>
      </w:r>
      <w:r w:rsidR="004A3883" w:rsidRPr="009957E0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A3883" w:rsidRPr="009957E0">
        <w:rPr>
          <w:rFonts w:ascii="Times New Roman" w:hAnsi="Times New Roman" w:cs="Times New Roman"/>
          <w:sz w:val="28"/>
          <w:szCs w:val="28"/>
        </w:rPr>
        <w:t>й, предусмотренных</w:t>
      </w:r>
      <w:r w:rsidRPr="009957E0">
        <w:rPr>
          <w:rFonts w:ascii="Times New Roman" w:hAnsi="Times New Roman" w:cs="Times New Roman"/>
          <w:sz w:val="28"/>
          <w:szCs w:val="28"/>
        </w:rPr>
        <w:t xml:space="preserve"> частью 6 статьи 160.2-1 Бюджетного кодекса Российской Федерации.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3A2A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>качества финансового менеджмента проведен в целях: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оценки</w:t>
      </w:r>
      <w:r w:rsidRPr="00FC3A2A">
        <w:rPr>
          <w:rFonts w:ascii="Times New Roman" w:hAnsi="Times New Roman" w:cs="Times New Roman"/>
          <w:sz w:val="28"/>
          <w:szCs w:val="28"/>
        </w:rPr>
        <w:t xml:space="preserve"> оптимальности (точности, обоснованности и эффективности) процедур планирования </w:t>
      </w:r>
      <w:r w:rsidR="00596A3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C3A2A">
        <w:rPr>
          <w:rFonts w:ascii="Times New Roman" w:hAnsi="Times New Roman" w:cs="Times New Roman"/>
          <w:sz w:val="28"/>
          <w:szCs w:val="28"/>
        </w:rPr>
        <w:t>бюджета, сроков и объемов его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выявления и пресечения бюджетных рисков, в том числе </w:t>
      </w:r>
      <w:r w:rsidRPr="00951AD3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некачественного исполнения городского </w:t>
      </w:r>
      <w:r w:rsidRPr="00951AD3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неэ</w:t>
      </w:r>
      <w:r w:rsidRPr="00951AD3">
        <w:rPr>
          <w:rFonts w:ascii="Times New Roman" w:hAnsi="Times New Roman" w:cs="Times New Roman"/>
          <w:sz w:val="28"/>
          <w:szCs w:val="28"/>
        </w:rPr>
        <w:t>ффективных или необоснованных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A6CA5">
        <w:rPr>
          <w:rFonts w:ascii="Times New Roman" w:hAnsi="Times New Roman" w:cs="Times New Roman"/>
          <w:sz w:val="28"/>
          <w:szCs w:val="28"/>
        </w:rPr>
        <w:t xml:space="preserve">подготовки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городского бюджета </w:t>
      </w:r>
      <w:r w:rsidRPr="004A6CA5">
        <w:rPr>
          <w:rFonts w:ascii="Times New Roman" w:hAnsi="Times New Roman" w:cs="Times New Roman"/>
          <w:sz w:val="28"/>
          <w:szCs w:val="28"/>
        </w:rPr>
        <w:t>мер, направл</w:t>
      </w:r>
      <w:r w:rsidR="000F7D61">
        <w:rPr>
          <w:rFonts w:ascii="Times New Roman" w:hAnsi="Times New Roman" w:cs="Times New Roman"/>
          <w:sz w:val="28"/>
          <w:szCs w:val="28"/>
        </w:rPr>
        <w:t>енных на миними</w:t>
      </w:r>
      <w:r w:rsidRPr="004A6CA5">
        <w:rPr>
          <w:rFonts w:ascii="Times New Roman" w:hAnsi="Times New Roman" w:cs="Times New Roman"/>
          <w:sz w:val="28"/>
          <w:szCs w:val="28"/>
        </w:rPr>
        <w:t>зацию (устранение) бюджетных рисков, по</w:t>
      </w:r>
      <w:r w:rsidR="000F7D61">
        <w:rPr>
          <w:rFonts w:ascii="Times New Roman" w:hAnsi="Times New Roman" w:cs="Times New Roman"/>
          <w:sz w:val="28"/>
          <w:szCs w:val="28"/>
        </w:rPr>
        <w:t>вышение качества финансового ме</w:t>
      </w:r>
      <w:r w:rsidRPr="004A6CA5">
        <w:rPr>
          <w:rFonts w:ascii="Times New Roman" w:hAnsi="Times New Roman" w:cs="Times New Roman"/>
          <w:sz w:val="28"/>
          <w:szCs w:val="28"/>
        </w:rPr>
        <w:t>неджмента, в том числе на достижение целевых значений показателей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CA5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7E0" w:rsidRPr="009957E0" w:rsidRDefault="000B22B6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При проведении мониторинга анализировались и оценивались результаты выполнения главными админист</w:t>
      </w:r>
      <w:r w:rsidR="009957E0" w:rsidRPr="009957E0">
        <w:rPr>
          <w:rFonts w:ascii="Times New Roman" w:hAnsi="Times New Roman" w:cs="Times New Roman"/>
          <w:sz w:val="28"/>
          <w:szCs w:val="28"/>
        </w:rPr>
        <w:t xml:space="preserve">раторами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="009957E0" w:rsidRPr="009957E0">
        <w:rPr>
          <w:rFonts w:ascii="Times New Roman" w:hAnsi="Times New Roman" w:cs="Times New Roman"/>
          <w:sz w:val="28"/>
          <w:szCs w:val="28"/>
        </w:rPr>
        <w:t>процедур и операций, необходимых для исполнения бюджетных полномочий, установленных бюджетным законодательством Российской Федерации</w:t>
      </w:r>
      <w:r w:rsidR="006A5A34">
        <w:rPr>
          <w:rFonts w:ascii="Times New Roman" w:hAnsi="Times New Roman" w:cs="Times New Roman"/>
          <w:sz w:val="28"/>
          <w:szCs w:val="28"/>
        </w:rPr>
        <w:t>, в части</w:t>
      </w:r>
      <w:r w:rsidR="009957E0" w:rsidRPr="009957E0">
        <w:rPr>
          <w:rFonts w:ascii="Times New Roman" w:hAnsi="Times New Roman" w:cs="Times New Roman"/>
          <w:sz w:val="28"/>
          <w:szCs w:val="28"/>
        </w:rPr>
        <w:t>: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планировани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городского бюджета,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судебных актов</w:t>
      </w:r>
      <w:r w:rsidR="006A5A34">
        <w:rPr>
          <w:rFonts w:ascii="Times New Roman" w:hAnsi="Times New Roman" w:cs="Times New Roman"/>
          <w:sz w:val="28"/>
          <w:szCs w:val="28"/>
        </w:rPr>
        <w:t>,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ведени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учета и составлени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бюджетной отчетности,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организации и осуществлени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</w:t>
      </w:r>
    </w:p>
    <w:p w:rsidR="000B22B6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управлени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активами.</w:t>
      </w:r>
    </w:p>
    <w:p w:rsidR="000B22B6" w:rsidRPr="009957E0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проводился по 10 главным администраторам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(как получателям бюджетных средств, то есть без учета сведений о подведомственных главному администратору </w:t>
      </w:r>
      <w:r w:rsidR="00080017" w:rsidRPr="007D3C3D">
        <w:rPr>
          <w:rFonts w:ascii="Times New Roman" w:hAnsi="Times New Roman" w:cs="Times New Roman"/>
          <w:sz w:val="28"/>
          <w:szCs w:val="28"/>
        </w:rPr>
        <w:t xml:space="preserve">средств городского </w:t>
      </w:r>
      <w:r w:rsidR="00080017" w:rsidRPr="007D3C3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080017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>получателях бюджетных средств), указанным в ведомственной структуре расходов</w:t>
      </w:r>
      <w:r w:rsidR="00596A3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957E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В целях расчета показателей качества финансового менеджмента при проведении мониторинга </w:t>
      </w:r>
      <w:r w:rsidR="003912E2" w:rsidRPr="009957E0">
        <w:rPr>
          <w:rFonts w:ascii="Times New Roman" w:hAnsi="Times New Roman" w:cs="Times New Roman"/>
          <w:sz w:val="28"/>
          <w:szCs w:val="28"/>
        </w:rPr>
        <w:t>за 202</w:t>
      </w:r>
      <w:r w:rsidR="00220CDB">
        <w:rPr>
          <w:rFonts w:ascii="Times New Roman" w:hAnsi="Times New Roman" w:cs="Times New Roman"/>
          <w:sz w:val="28"/>
          <w:szCs w:val="28"/>
        </w:rPr>
        <w:t>3</w:t>
      </w:r>
      <w:r w:rsidR="003912E2"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4A3883" w:rsidRPr="009957E0">
        <w:rPr>
          <w:rFonts w:ascii="Times New Roman" w:hAnsi="Times New Roman" w:cs="Times New Roman"/>
          <w:sz w:val="28"/>
          <w:szCs w:val="28"/>
        </w:rPr>
        <w:t>финансовым управлением использовались сведения</w:t>
      </w:r>
      <w:r w:rsidRPr="009957E0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0F7D61" w:rsidRPr="009957E0"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 w:rsidR="000F7D6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F7D61" w:rsidRPr="001120FC">
        <w:rPr>
          <w:rFonts w:ascii="Times New Roman" w:hAnsi="Times New Roman" w:cs="Times New Roman"/>
          <w:bCs/>
          <w:sz w:val="28"/>
          <w:szCs w:val="28"/>
        </w:rPr>
        <w:t>городского бюджета</w:t>
      </w:r>
      <w:r w:rsidR="000F7D61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A3883" w:rsidRPr="009957E0">
        <w:rPr>
          <w:rFonts w:ascii="Times New Roman" w:hAnsi="Times New Roman" w:cs="Times New Roman"/>
          <w:sz w:val="28"/>
          <w:szCs w:val="28"/>
        </w:rPr>
        <w:t>7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, данные отчета об исполнении городского бюджета, </w:t>
      </w:r>
      <w:r w:rsidR="000F7D6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0F7D61">
        <w:rPr>
          <w:rFonts w:ascii="Times New Roman" w:hAnsi="Times New Roman" w:cs="Times New Roman"/>
          <w:bCs/>
          <w:sz w:val="28"/>
          <w:szCs w:val="28"/>
        </w:rPr>
        <w:t>за отчетный год</w:t>
      </w:r>
      <w:r w:rsidRPr="00112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Отчет о результатах мониторинга содержит следующие сведения: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а) значения итоговых оценок качества финансового менеджмента главных администраторов средств городского бюджета и всех показателей, используемых для их расчета;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б) целевые значения показателей качества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в) рейтинг качества финансового менеджмента главных администраторов средств городского бюджета, сформированный по четырем группам: высокое, хорошее, удовлетворительное и неудовлетворительное качество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г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) настоящая пояснительная записка.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Итоговая оценка качества финансового менеджмента главн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1120FC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ов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A3F" w:rsidRPr="001120FC">
        <w:rPr>
          <w:rFonts w:ascii="Times New Roman" w:hAnsi="Times New Roman" w:cs="Times New Roman"/>
          <w:bCs/>
          <w:sz w:val="28"/>
          <w:szCs w:val="28"/>
        </w:rPr>
        <w:t xml:space="preserve">средств городского бюджета 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рассчитывалась по </w:t>
      </w:r>
      <w:r w:rsidR="000F7D61">
        <w:rPr>
          <w:rFonts w:ascii="Times New Roman" w:hAnsi="Times New Roman" w:cs="Times New Roman"/>
          <w:bCs/>
          <w:sz w:val="28"/>
          <w:szCs w:val="28"/>
        </w:rPr>
        <w:t>шести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направлениям показателей качества финансового менеджмента: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1)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расходами бюджета (вес 0,</w:t>
      </w:r>
      <w:r w:rsidR="009957E0"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2)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качество исполнение судебных актов (вес 0,1)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доходами бюджета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4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ведения учета и составления бюджетной отчетности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1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5) качество организации и осуществления внутреннего финансового аудита (вес 0,1);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6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активами (вес 0,1).</w:t>
      </w:r>
    </w:p>
    <w:p w:rsidR="00E96D33" w:rsidRPr="00857436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14">
        <w:rPr>
          <w:rFonts w:ascii="Times New Roman" w:hAnsi="Times New Roman" w:cs="Times New Roman"/>
          <w:bCs/>
          <w:sz w:val="28"/>
          <w:szCs w:val="28"/>
        </w:rPr>
        <w:t>Значения показателей качества финансового менеджмента главн</w:t>
      </w:r>
      <w:r w:rsidR="00596A3F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E74814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596A3F">
        <w:rPr>
          <w:rFonts w:ascii="Times New Roman" w:hAnsi="Times New Roman" w:cs="Times New Roman"/>
          <w:bCs/>
          <w:sz w:val="28"/>
          <w:szCs w:val="28"/>
        </w:rPr>
        <w:t>ов</w:t>
      </w:r>
      <w:r w:rsidRPr="00E7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городского бюджета по каждому </w:t>
      </w:r>
      <w:r w:rsidR="004345D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4345D3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814">
        <w:rPr>
          <w:rFonts w:ascii="Times New Roman" w:hAnsi="Times New Roman" w:cs="Times New Roman"/>
          <w:bCs/>
          <w:sz w:val="28"/>
          <w:szCs w:val="28"/>
        </w:rPr>
        <w:t>рассчитыва</w:t>
      </w:r>
      <w:r w:rsidR="00596A3F">
        <w:rPr>
          <w:rFonts w:ascii="Times New Roman" w:hAnsi="Times New Roman" w:cs="Times New Roman"/>
          <w:bCs/>
          <w:sz w:val="28"/>
          <w:szCs w:val="28"/>
        </w:rPr>
        <w:t>лись</w:t>
      </w:r>
      <w:r w:rsidR="00857436">
        <w:rPr>
          <w:rFonts w:ascii="Times New Roman" w:hAnsi="Times New Roman" w:cs="Times New Roman"/>
          <w:bCs/>
          <w:sz w:val="28"/>
          <w:szCs w:val="28"/>
        </w:rPr>
        <w:t xml:space="preserve"> с учетом следующих положений:</w:t>
      </w:r>
    </w:p>
    <w:p w:rsidR="001120FC" w:rsidRDefault="001120FC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9957E0">
        <w:rPr>
          <w:rFonts w:ascii="Times New Roman" w:hAnsi="Times New Roman" w:cs="Times New Roman"/>
          <w:bCs/>
          <w:sz w:val="28"/>
          <w:szCs w:val="28"/>
        </w:rPr>
        <w:t>елев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957E0">
        <w:rPr>
          <w:rFonts w:ascii="Times New Roman" w:hAnsi="Times New Roman" w:cs="Times New Roman"/>
          <w:bCs/>
          <w:sz w:val="28"/>
          <w:szCs w:val="28"/>
        </w:rPr>
        <w:t>е значени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показателей качества финансового менеджмента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Pr="009957E0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принимал</w:t>
      </w:r>
      <w:r w:rsidR="00074230">
        <w:rPr>
          <w:rFonts w:ascii="Times New Roman" w:hAnsi="Times New Roman" w:cs="Times New Roman"/>
          <w:bCs/>
          <w:sz w:val="28"/>
          <w:szCs w:val="28"/>
        </w:rPr>
        <w:t>о</w:t>
      </w:r>
      <w:r w:rsidRPr="009957E0">
        <w:rPr>
          <w:rFonts w:ascii="Times New Roman" w:hAnsi="Times New Roman" w:cs="Times New Roman"/>
          <w:bCs/>
          <w:sz w:val="28"/>
          <w:szCs w:val="28"/>
        </w:rPr>
        <w:t>сь равным 80</w:t>
      </w:r>
      <w:r w:rsidR="00074230">
        <w:rPr>
          <w:rFonts w:ascii="Times New Roman" w:hAnsi="Times New Roman" w:cs="Times New Roman"/>
          <w:bCs/>
          <w:sz w:val="28"/>
          <w:szCs w:val="28"/>
        </w:rPr>
        <w:t>,0 баллам</w:t>
      </w:r>
      <w:r w:rsidRPr="00995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96D33" w:rsidRDefault="001120FC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D33">
        <w:rPr>
          <w:rFonts w:ascii="Times New Roman" w:hAnsi="Times New Roman" w:cs="Times New Roman"/>
          <w:sz w:val="28"/>
          <w:szCs w:val="28"/>
        </w:rPr>
        <w:t>) в</w:t>
      </w:r>
      <w:r w:rsidR="00E96D33" w:rsidRPr="00544BFC">
        <w:rPr>
          <w:rFonts w:ascii="Times New Roman" w:hAnsi="Times New Roman" w:cs="Times New Roman"/>
          <w:sz w:val="28"/>
          <w:szCs w:val="28"/>
        </w:rPr>
        <w:t xml:space="preserve"> случае отсутствия направления качества финансового менеджмента главного администратора, вес этого направления пропорционально перераспр</w:t>
      </w:r>
      <w:r w:rsidR="00E96D33">
        <w:rPr>
          <w:rFonts w:ascii="Times New Roman" w:hAnsi="Times New Roman" w:cs="Times New Roman"/>
          <w:sz w:val="28"/>
          <w:szCs w:val="28"/>
        </w:rPr>
        <w:t>едел</w:t>
      </w:r>
      <w:r w:rsidR="00857436">
        <w:rPr>
          <w:rFonts w:ascii="Times New Roman" w:hAnsi="Times New Roman" w:cs="Times New Roman"/>
          <w:sz w:val="28"/>
          <w:szCs w:val="28"/>
        </w:rPr>
        <w:t>ялся</w:t>
      </w:r>
      <w:r w:rsidR="00E96D33">
        <w:rPr>
          <w:rFonts w:ascii="Times New Roman" w:hAnsi="Times New Roman" w:cs="Times New Roman"/>
          <w:sz w:val="28"/>
          <w:szCs w:val="28"/>
        </w:rPr>
        <w:t xml:space="preserve"> на другие направления;</w:t>
      </w:r>
    </w:p>
    <w:p w:rsidR="00E96D33" w:rsidRDefault="001120FC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D33">
        <w:rPr>
          <w:rFonts w:ascii="Times New Roman" w:hAnsi="Times New Roman" w:cs="Times New Roman"/>
          <w:sz w:val="28"/>
          <w:szCs w:val="28"/>
        </w:rPr>
        <w:t>) максимальная оценка качества финансового менеджмента составляет 100</w:t>
      </w:r>
      <w:r w:rsidR="001455EF">
        <w:rPr>
          <w:rFonts w:ascii="Times New Roman" w:hAnsi="Times New Roman" w:cs="Times New Roman"/>
          <w:sz w:val="28"/>
          <w:szCs w:val="28"/>
        </w:rPr>
        <w:t>,0</w:t>
      </w:r>
      <w:r w:rsidR="00E96D33">
        <w:rPr>
          <w:rFonts w:ascii="Times New Roman" w:hAnsi="Times New Roman" w:cs="Times New Roman"/>
          <w:sz w:val="28"/>
          <w:szCs w:val="28"/>
        </w:rPr>
        <w:t xml:space="preserve"> баллов и свидетельствует о </w:t>
      </w:r>
      <w:r w:rsidR="00857436">
        <w:rPr>
          <w:rFonts w:ascii="Times New Roman" w:hAnsi="Times New Roman" w:cs="Times New Roman"/>
          <w:sz w:val="28"/>
          <w:szCs w:val="28"/>
        </w:rPr>
        <w:t>наивысшем</w:t>
      </w:r>
      <w:r w:rsidR="00E96D33" w:rsidRPr="00E7481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57436">
        <w:rPr>
          <w:rFonts w:ascii="Times New Roman" w:hAnsi="Times New Roman" w:cs="Times New Roman"/>
          <w:bCs/>
          <w:sz w:val="28"/>
          <w:szCs w:val="28"/>
        </w:rPr>
        <w:t>ачестве финансового менеджмента</w:t>
      </w:r>
      <w:r w:rsidR="00E96D33" w:rsidRPr="00E96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Принятые сокращения:</w:t>
      </w: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СНД – Совет народных депутатов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9E13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E411F">
        <w:rPr>
          <w:rFonts w:ascii="Times New Roman" w:hAnsi="Times New Roman" w:cs="Times New Roman"/>
          <w:bCs/>
          <w:sz w:val="28"/>
          <w:szCs w:val="28"/>
        </w:rPr>
        <w:t>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11F">
        <w:rPr>
          <w:rFonts w:ascii="Times New Roman" w:hAnsi="Times New Roman" w:cs="Times New Roman"/>
          <w:bCs/>
          <w:sz w:val="28"/>
          <w:szCs w:val="28"/>
        </w:rPr>
        <w:t>– администрация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 w:rsidR="003E411F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3E411F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УГОЧС</w:t>
      </w:r>
      <w:r w:rsidR="00E31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82489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782489">
        <w:rPr>
          <w:rFonts w:ascii="Times New Roman" w:hAnsi="Times New Roman" w:cs="Times New Roman"/>
          <w:bCs/>
          <w:sz w:val="28"/>
          <w:szCs w:val="28"/>
        </w:rPr>
        <w:t xml:space="preserve">по делам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гражданской оборон</w:t>
      </w:r>
      <w:r w:rsidR="00782489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чрезвычайным ситуациям</w:t>
      </w:r>
      <w:r w:rsidR="0078248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3E411F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ГКМХ</w:t>
      </w:r>
      <w:r w:rsidR="00782489">
        <w:rPr>
          <w:rFonts w:ascii="Times New Roman" w:hAnsi="Times New Roman" w:cs="Times New Roman"/>
          <w:bCs/>
          <w:sz w:val="28"/>
          <w:szCs w:val="28"/>
        </w:rPr>
        <w:t xml:space="preserve"> – муниципальное казенное учреждение «Городской комитет м</w:t>
      </w:r>
      <w:r w:rsidR="000F7D61">
        <w:rPr>
          <w:rFonts w:ascii="Times New Roman" w:hAnsi="Times New Roman" w:cs="Times New Roman"/>
          <w:bCs/>
          <w:sz w:val="28"/>
          <w:szCs w:val="28"/>
        </w:rPr>
        <w:t>униципального хозяйства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УАЗ – муниципальное казенное учреждение «Управление адм</w:t>
      </w:r>
      <w:r w:rsidR="000F7D61">
        <w:rPr>
          <w:rFonts w:ascii="Times New Roman" w:hAnsi="Times New Roman" w:cs="Times New Roman"/>
          <w:bCs/>
          <w:sz w:val="28"/>
          <w:szCs w:val="28"/>
        </w:rPr>
        <w:t>инистративными зданиями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Дорожник – муниципальное казенно</w:t>
      </w:r>
      <w:r w:rsidR="00074230">
        <w:rPr>
          <w:rFonts w:ascii="Times New Roman" w:hAnsi="Times New Roman" w:cs="Times New Roman"/>
          <w:bCs/>
          <w:sz w:val="28"/>
          <w:szCs w:val="28"/>
        </w:rPr>
        <w:t>е учреждение «Дорожник»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ККиС – муниципальное казенное учреждени</w:t>
      </w:r>
      <w:r w:rsidR="006810BE">
        <w:rPr>
          <w:rFonts w:ascii="Times New Roman" w:hAnsi="Times New Roman" w:cs="Times New Roman"/>
          <w:bCs/>
          <w:sz w:val="28"/>
          <w:szCs w:val="28"/>
        </w:rPr>
        <w:t>е «Комитет по культуре и спорту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</w:t>
      </w:r>
      <w:r w:rsidR="006810B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КУМИ – Комитет по управлению муниципальным имуществом администрации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82489">
        <w:rPr>
          <w:rFonts w:ascii="Times New Roman" w:hAnsi="Times New Roman" w:cs="Times New Roman"/>
          <w:bCs/>
          <w:sz w:val="28"/>
          <w:szCs w:val="28"/>
        </w:rPr>
        <w:t>правление образования – управление об</w:t>
      </w:r>
      <w:r w:rsidR="000F7D61">
        <w:rPr>
          <w:rFonts w:ascii="Times New Roman" w:hAnsi="Times New Roman" w:cs="Times New Roman"/>
          <w:bCs/>
          <w:sz w:val="28"/>
          <w:szCs w:val="28"/>
        </w:rPr>
        <w:t>разования администрации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82489">
        <w:rPr>
          <w:rFonts w:ascii="Times New Roman" w:hAnsi="Times New Roman" w:cs="Times New Roman"/>
          <w:bCs/>
          <w:sz w:val="28"/>
          <w:szCs w:val="28"/>
        </w:rPr>
        <w:t>инансовое управление – финансовое у</w:t>
      </w:r>
      <w:r>
        <w:rPr>
          <w:rFonts w:ascii="Times New Roman" w:hAnsi="Times New Roman" w:cs="Times New Roman"/>
          <w:bCs/>
          <w:sz w:val="28"/>
          <w:szCs w:val="28"/>
        </w:rPr>
        <w:t>правление администрации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области.</w:t>
      </w:r>
    </w:p>
    <w:p w:rsidR="00816DD0" w:rsidRPr="007C72F3" w:rsidRDefault="00EB6134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4E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292760">
        <w:rPr>
          <w:rFonts w:ascii="Times New Roman" w:hAnsi="Times New Roman" w:cs="Times New Roman"/>
          <w:b/>
          <w:sz w:val="28"/>
          <w:szCs w:val="28"/>
        </w:rPr>
        <w:t>у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292760">
        <w:rPr>
          <w:rFonts w:ascii="Times New Roman" w:hAnsi="Times New Roman" w:cs="Times New Roman"/>
          <w:b/>
          <w:sz w:val="28"/>
          <w:szCs w:val="28"/>
        </w:rPr>
        <w:t>я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 расходами бюджета</w:t>
      </w:r>
    </w:p>
    <w:p w:rsidR="0006458D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>Оценка качества финансового менеджмента главн</w:t>
      </w:r>
      <w:r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7436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857436"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по направлению «Управление расходами бюджета» показала, что 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все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главны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администратор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0017" w:rsidRPr="007D3C3D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0800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достигли целевого значения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Среднее значение оценки </w:t>
      </w:r>
      <w:r w:rsidR="001E094C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D31E47">
        <w:rPr>
          <w:rFonts w:ascii="Times New Roman" w:hAnsi="Times New Roman" w:cs="Times New Roman"/>
          <w:snapToGrid w:val="0"/>
          <w:sz w:val="28"/>
          <w:szCs w:val="28"/>
        </w:rPr>
        <w:t>92,0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D31E4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08001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80017" w:rsidRDefault="00080017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Выше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средне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>й</w:t>
      </w:r>
      <w:proofErr w:type="gramEnd"/>
      <w:r w:rsidR="0006458D">
        <w:rPr>
          <w:rFonts w:ascii="Times New Roman" w:hAnsi="Times New Roman" w:cs="Times New Roman"/>
          <w:snapToGrid w:val="0"/>
          <w:sz w:val="28"/>
          <w:szCs w:val="28"/>
        </w:rPr>
        <w:t xml:space="preserve"> оценку </w:t>
      </w:r>
      <w:r>
        <w:rPr>
          <w:rFonts w:ascii="Times New Roman" w:hAnsi="Times New Roman" w:cs="Times New Roman"/>
          <w:snapToGrid w:val="0"/>
          <w:sz w:val="28"/>
          <w:szCs w:val="28"/>
        </w:rPr>
        <w:t>получили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>: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 xml:space="preserve">ГКМХ (99,0 баллов, </w:t>
      </w:r>
      <w:r w:rsidR="00D60A3D">
        <w:rPr>
          <w:rFonts w:ascii="Times New Roman" w:hAnsi="Times New Roman" w:cs="Times New Roman"/>
          <w:snapToGrid w:val="0"/>
          <w:sz w:val="28"/>
          <w:szCs w:val="28"/>
        </w:rPr>
        <w:t>максимальное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 xml:space="preserve"> значение), ККИС (97,9 баллов), администрация (97,6 баллов), финансовое управление (93,5 балла), СНД (93,3 балла), </w:t>
      </w:r>
      <w:r w:rsidR="0006458D" w:rsidRPr="000800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>КУМИ (92,4 балла).</w:t>
      </w:r>
    </w:p>
    <w:p w:rsidR="00EB6134" w:rsidRPr="00A33C8F" w:rsidRDefault="0006458D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Ниже средней оценку получили: Дорожник (91,4 балла), УАЗ (91,3 балла), управление образования (84,6 балла), </w:t>
      </w:r>
      <w:r w:rsidR="00D31E47">
        <w:rPr>
          <w:rFonts w:ascii="Times New Roman" w:hAnsi="Times New Roman" w:cs="Times New Roman"/>
          <w:snapToGrid w:val="0"/>
          <w:sz w:val="28"/>
          <w:szCs w:val="28"/>
        </w:rPr>
        <w:t>УГОЧС</w:t>
      </w:r>
      <w:r w:rsidR="00080017">
        <w:rPr>
          <w:rFonts w:ascii="Times New Roman" w:hAnsi="Times New Roman" w:cs="Times New Roman"/>
          <w:snapToGrid w:val="0"/>
          <w:sz w:val="28"/>
          <w:szCs w:val="28"/>
        </w:rPr>
        <w:t xml:space="preserve"> (83,7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балла</w:t>
      </w:r>
      <w:r w:rsidR="0008001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80017" w:rsidRPr="000800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0017">
        <w:rPr>
          <w:rFonts w:ascii="Times New Roman" w:hAnsi="Times New Roman" w:cs="Times New Roman"/>
          <w:snapToGrid w:val="0"/>
          <w:sz w:val="28"/>
          <w:szCs w:val="28"/>
        </w:rPr>
        <w:t>минимальное значение</w:t>
      </w:r>
      <w:r w:rsidR="009E131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33C8F" w:rsidRPr="00A33C8F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B6134" w:rsidRPr="00A33C8F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следует отнести:</w:t>
      </w:r>
    </w:p>
    <w:p w:rsidR="00BF347F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низкий уровень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кредиторской 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по расходам на поставк</w:t>
      </w:r>
      <w:r w:rsidR="0006458D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товаров, оказание услуг, выполнение работ для муниципальных нужд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конец отчетного года. Для достижения заданного целевого значения оценки качества финансового менеджмента доля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кредиторской задолженности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закупкам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на конец отчетного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объеме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кассов</w:t>
      </w:r>
      <w:r>
        <w:rPr>
          <w:rFonts w:ascii="Times New Roman" w:hAnsi="Times New Roman" w:cs="Times New Roman"/>
          <w:snapToGrid w:val="0"/>
          <w:sz w:val="28"/>
          <w:szCs w:val="28"/>
        </w:rPr>
        <w:t>ого исполнения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 указанным расходам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napToGrid w:val="0"/>
          <w:sz w:val="28"/>
          <w:szCs w:val="28"/>
        </w:rPr>
        <w:t>должна превышать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%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151D7" w:rsidRDefault="008E5181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управления кредиторской задолженностью по расходам на поставки товаров, оказание услуг, выполнение работ для муниципальных нужд» </w:t>
      </w:r>
      <w:r>
        <w:rPr>
          <w:rFonts w:ascii="Times New Roman" w:hAnsi="Times New Roman" w:cs="Times New Roman"/>
          <w:snapToGrid w:val="0"/>
          <w:sz w:val="28"/>
          <w:szCs w:val="28"/>
        </w:rPr>
        <w:t>все главные администраторы средств городского бюджета получили максимальную оценку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просроченной кредиторской 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E5181" w:rsidRDefault="008E5181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показателю «Наличие просроченной кредиторской задолженности по расходам» все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дебиторской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E5181" w:rsidRDefault="008E5181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«Наличие просроченной дебиторской задолженности по расходам» все главные администраторы средств городского бюджета получили максимальную оценку 100,0 баллов;</w:t>
      </w:r>
    </w:p>
    <w:p w:rsidR="00C151D7" w:rsidRPr="00D60A3D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качественное планирование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работ). Для достижения заданного целевого значения оценки качества финансового менеджмента объем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фактических выплат, осуществленных бюджетными учреждениями за счет средств субсидии на выполнение муниципального задания в отчетном году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, должен составлять не более 118% первоначально утвержденного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лимитов бюджетных обязательств на предоставление субсидий на выполнение муниципального задания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E5181" w:rsidRDefault="001455EF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Мониторинг п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работ)» </w:t>
      </w:r>
      <w:r>
        <w:rPr>
          <w:rFonts w:ascii="Times New Roman" w:hAnsi="Times New Roman" w:cs="Times New Roman"/>
          <w:snapToGrid w:val="0"/>
          <w:sz w:val="28"/>
          <w:szCs w:val="28"/>
        </w:rPr>
        <w:t>проводился в отношении главных администраторов</w:t>
      </w:r>
      <w:r w:rsidR="00E031D7" w:rsidRPr="00E031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имеющих подведомственные муниципальные учреждения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– ККиС и управление образования.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8E5181" w:rsidRDefault="00C151D7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5)</w:t>
      </w:r>
      <w:r w:rsidRPr="00E063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утверждение главными администраторами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базовых нормативных затрат и отраслевых корректирующих коэффициентов к ним на отчетный год для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учреждениями в полном объеме и в установленном порядке.</w:t>
      </w:r>
    </w:p>
    <w:p w:rsidR="00C151D7" w:rsidRDefault="001455EF" w:rsidP="00C15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Мониторинг п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правовой базы по порядку формирования финансового обеспечения выполнения муниципального задания на оказание муниципальных услуг (выполнение работ)»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проводился в отношении главных администраторов, имеющих подведомственные муниципальные учреждения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– ККиС и управление образования.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6) соответствие фактических сроков предоставления юридическим лицам средств из городского бюджета в форме субсидий в отчетном году условиям заключенных соглашений.</w:t>
      </w:r>
    </w:p>
    <w:p w:rsidR="008E5181" w:rsidRDefault="001455EF" w:rsidP="008E518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Мониторинг по 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показателю «Своевременность предоставления юридическим лицам средств из городского бюджета в форме субсидий» </w:t>
      </w:r>
      <w:r>
        <w:rPr>
          <w:rFonts w:ascii="Times New Roman" w:hAnsi="Times New Roman" w:cs="Times New Roman"/>
          <w:snapToGrid w:val="0"/>
          <w:sz w:val="28"/>
          <w:szCs w:val="28"/>
        </w:rPr>
        <w:t>проводился в отношении главных администраторов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городского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до которых в </w:t>
      </w:r>
      <w:r w:rsidR="005C599D">
        <w:rPr>
          <w:rFonts w:ascii="Times New Roman" w:hAnsi="Times New Roman" w:cs="Times New Roman"/>
          <w:snapToGrid w:val="0"/>
          <w:sz w:val="28"/>
          <w:szCs w:val="28"/>
        </w:rPr>
        <w:t>отчетном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году были доведены бюджетные ассигнования на предоставление субсидий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– ГКМ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Х, ККиС, управление образования.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C151D7" w:rsidRPr="007E3AE4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3AE4">
        <w:rPr>
          <w:rFonts w:ascii="Times New Roman" w:hAnsi="Times New Roman" w:cs="Times New Roman"/>
          <w:sz w:val="28"/>
          <w:szCs w:val="28"/>
        </w:rPr>
        <w:t xml:space="preserve">7) соблюдение порядка принятия бюджетных обязательств на закупку товаров, работ и услуг со стороны главного распорядителя.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 w:rsidRPr="007E3AE4">
        <w:rPr>
          <w:rFonts w:ascii="Times New Roman" w:hAnsi="Times New Roman" w:cs="Times New Roman"/>
          <w:sz w:val="28"/>
          <w:szCs w:val="28"/>
        </w:rPr>
        <w:t xml:space="preserve"> доля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невостребованных, не подтвержденных бюджетными обязательствами лимитов бюджетных обязательств на закупку товаров, работ услуг для обеспечения муниципальных нужд относительно объема кассового исполнения этой категории расходов не должна превышать 2%. В целом главные администраторы средств городского бюджета обеспечили </w:t>
      </w:r>
      <w:r w:rsidR="00F13080" w:rsidRPr="007E3AE4">
        <w:rPr>
          <w:rFonts w:ascii="Times New Roman" w:hAnsi="Times New Roman" w:cs="Times New Roman"/>
          <w:sz w:val="28"/>
          <w:szCs w:val="28"/>
        </w:rPr>
        <w:t>выполнение данного критерия.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7E3AE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днако отмечено превышение предельно допустимого значения по данному показателю у 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Дорожника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 xml:space="preserve"> и управления образования (7%)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151D7" w:rsidRDefault="00C151D7" w:rsidP="00E3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AE4">
        <w:rPr>
          <w:rFonts w:ascii="Times New Roman" w:hAnsi="Times New Roman" w:cs="Times New Roman"/>
          <w:snapToGrid w:val="0"/>
          <w:sz w:val="28"/>
          <w:szCs w:val="28"/>
        </w:rPr>
        <w:t>Средняя оценка по показателю «Соблюдение порядка принятия бюджетных обязательств на закупку товаров, ра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бот и услуг» – 88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,0 балл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При этом </w:t>
      </w:r>
      <w:r w:rsidR="00E031D7" w:rsidRPr="007E3AE4">
        <w:rPr>
          <w:rFonts w:ascii="Times New Roman" w:hAnsi="Times New Roman" w:cs="Times New Roman"/>
          <w:bCs/>
          <w:sz w:val="28"/>
          <w:szCs w:val="28"/>
        </w:rPr>
        <w:t xml:space="preserve">СНД, УГОЧС, ГКМХ, УАЗ, </w:t>
      </w:r>
      <w:r w:rsidR="00E031D7">
        <w:rPr>
          <w:rFonts w:ascii="Times New Roman" w:hAnsi="Times New Roman" w:cs="Times New Roman"/>
          <w:bCs/>
          <w:sz w:val="28"/>
          <w:szCs w:val="28"/>
        </w:rPr>
        <w:t>ККиС, КУМИ,</w:t>
      </w:r>
      <w:r w:rsidR="00E031D7" w:rsidRPr="007E3AE4">
        <w:rPr>
          <w:rFonts w:ascii="Times New Roman" w:hAnsi="Times New Roman" w:cs="Times New Roman"/>
          <w:bCs/>
          <w:sz w:val="28"/>
          <w:szCs w:val="28"/>
        </w:rPr>
        <w:t xml:space="preserve"> финансовое управление</w:t>
      </w:r>
      <w:r w:rsidR="00E031D7"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получили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максимальн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>ую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оценку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. Ниже средней оценки получили: Дорожник – 60,0 баллов (отклонение от целевого значения 25%),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 образования 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0,0 баллов</w:t>
      </w:r>
      <w:r w:rsidR="00014BBE"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E031D7"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минимальная 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оценка, </w:t>
      </w:r>
      <w:r w:rsidR="00014BBE" w:rsidRPr="007E3AE4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63</w:t>
      </w:r>
      <w:r w:rsidR="00014BBE" w:rsidRPr="007E3AE4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Pr="007E3AE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B6B32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8) 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сокращение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объемов и количества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незавершенных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строительством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>. Для достижения заданного целевого значения оценки качества финансового менеджмента доля вложений в объекты капитального строительства, финансирование которых не осуществлялось в отчетном году, в общем объеме кассовых расходов на реализацию инвестиционных проектов с начала реализации не должна превышать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20%. 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Показатель рассчитан для двух главных администраторов средств городского бюджета,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которые в </w:t>
      </w:r>
      <w:r w:rsidR="005C599D">
        <w:rPr>
          <w:rFonts w:ascii="Times New Roman" w:hAnsi="Times New Roman" w:cs="Times New Roman"/>
          <w:snapToGrid w:val="0"/>
          <w:sz w:val="28"/>
          <w:szCs w:val="28"/>
        </w:rPr>
        <w:t>отчетном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году осуществляли расходы на капитальные вложения</w:t>
      </w:r>
      <w:r w:rsidR="00E031D7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управление образования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и ГКМХ.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«Объем незавершенного </w:t>
      </w:r>
      <w:r w:rsidR="00A52F7C">
        <w:rPr>
          <w:rFonts w:ascii="Times New Roman" w:hAnsi="Times New Roman" w:cs="Times New Roman"/>
          <w:snapToGrid w:val="0"/>
          <w:sz w:val="28"/>
          <w:szCs w:val="28"/>
        </w:rPr>
        <w:t>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–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96,0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оценка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управления образования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100,0 баллов,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оценка ГКМХ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92</w:t>
      </w:r>
      <w:r>
        <w:rPr>
          <w:rFonts w:ascii="Times New Roman" w:hAnsi="Times New Roman" w:cs="Times New Roman"/>
          <w:snapToGrid w:val="0"/>
          <w:sz w:val="28"/>
          <w:szCs w:val="28"/>
        </w:rPr>
        <w:t>,0 балл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B6B3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F0434" w:rsidRDefault="00BB6B32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EB6134">
        <w:rPr>
          <w:rFonts w:ascii="Times New Roman" w:hAnsi="Times New Roman" w:cs="Times New Roman"/>
          <w:snapToGrid w:val="0"/>
          <w:sz w:val="28"/>
          <w:szCs w:val="28"/>
        </w:rPr>
        <w:t>) высокий процент исполнения бюджета города по расходам. Д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ля достижения заданного целевого значения оценки качества финансового менеджмента д</w:t>
      </w:r>
      <w:r w:rsidR="00EB6134"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оля неиспользованных на конец года бюджетных ассигнований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не должна превышать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 3,6%</w:t>
      </w:r>
      <w:r w:rsidR="00EB6134"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F0434" w:rsidRDefault="00A52F7C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ходе проведения мониторинга установлено, что </w:t>
      </w:r>
      <w:r w:rsidR="00460CA3">
        <w:rPr>
          <w:rFonts w:ascii="Times New Roman" w:hAnsi="Times New Roman" w:cs="Times New Roman"/>
          <w:snapToGrid w:val="0"/>
          <w:sz w:val="28"/>
          <w:szCs w:val="28"/>
        </w:rPr>
        <w:t>восемь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десяти главных администраторов средств городского бюджета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(СНД,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администрация,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УГОЧС,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 xml:space="preserve">ГКМХ,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УАЗ,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ККиС, КУМИ</w:t>
      </w:r>
      <w:r w:rsidR="00B116F3">
        <w:rPr>
          <w:rFonts w:ascii="Times New Roman" w:hAnsi="Times New Roman" w:cs="Times New Roman"/>
          <w:snapToGrid w:val="0"/>
          <w:sz w:val="28"/>
          <w:szCs w:val="28"/>
        </w:rPr>
        <w:t>, финансовое управление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napToGrid w:val="0"/>
          <w:sz w:val="28"/>
          <w:szCs w:val="28"/>
        </w:rPr>
        <w:t>обеспечили выполнение указанного критерия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оля неиспользованных на конец отчетного года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Дорожником</w:t>
      </w:r>
      <w:r w:rsidR="00B116F3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CF44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управлением образования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 бюджетных ассигнований превышает установленное предельное значение</w:t>
      </w:r>
      <w:r w:rsidR="00CF4475">
        <w:rPr>
          <w:rFonts w:ascii="Times New Roman" w:hAnsi="Times New Roman" w:cs="Times New Roman"/>
          <w:snapToGrid w:val="0"/>
          <w:sz w:val="28"/>
          <w:szCs w:val="28"/>
        </w:rPr>
        <w:t xml:space="preserve"> (4,6%</w:t>
      </w:r>
      <w:r w:rsidR="00B116F3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CF4475">
        <w:rPr>
          <w:rFonts w:ascii="Times New Roman" w:hAnsi="Times New Roman" w:cs="Times New Roman"/>
          <w:snapToGrid w:val="0"/>
          <w:sz w:val="28"/>
          <w:szCs w:val="28"/>
        </w:rPr>
        <w:t>4,8% соответственно)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151D7" w:rsidRDefault="00CF4475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 этом следует учесть следующее: </w:t>
      </w:r>
      <w:r w:rsidR="00D66EA4">
        <w:rPr>
          <w:rFonts w:ascii="Times New Roman" w:hAnsi="Times New Roman" w:cs="Times New Roman"/>
          <w:snapToGrid w:val="0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418A1">
        <w:rPr>
          <w:rFonts w:ascii="Times New Roman" w:hAnsi="Times New Roman" w:cs="Times New Roman"/>
          <w:snapToGrid w:val="0"/>
          <w:sz w:val="28"/>
          <w:szCs w:val="28"/>
        </w:rPr>
        <w:t>ол</w:t>
      </w:r>
      <w:r w:rsidR="00D66EA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 неиспользованных на конец года бюджетных ассигнований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 финансовому управления </w:t>
      </w:r>
      <w:r w:rsidR="00D66EA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осуществлялась без учета </w:t>
      </w:r>
      <w:r w:rsidR="00460CA3">
        <w:rPr>
          <w:rFonts w:ascii="Times New Roman" w:hAnsi="Times New Roman" w:cs="Times New Roman"/>
          <w:snapToGrid w:val="0"/>
          <w:sz w:val="28"/>
          <w:szCs w:val="28"/>
        </w:rPr>
        <w:t xml:space="preserve">ассигнований </w:t>
      </w:r>
      <w:r w:rsidR="00D66EA4">
        <w:rPr>
          <w:rFonts w:ascii="Times New Roman" w:hAnsi="Times New Roman" w:cs="Times New Roman"/>
          <w:snapToGrid w:val="0"/>
          <w:sz w:val="28"/>
          <w:szCs w:val="28"/>
        </w:rPr>
        <w:t>резервного фонда администрации, поскольку в течение 2023 года решения об использовании средств резервного фонда администрацией не принимались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97BA8" w:rsidRDefault="00897BA8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«Д</w:t>
      </w:r>
      <w:r w:rsidR="00ED3326" w:rsidRPr="001418A1">
        <w:rPr>
          <w:rFonts w:ascii="Times New Roman" w:hAnsi="Times New Roman" w:cs="Times New Roman"/>
          <w:snapToGrid w:val="0"/>
          <w:sz w:val="28"/>
          <w:szCs w:val="28"/>
        </w:rPr>
        <w:t>оля неиспользованных на конец года бюджетных ассигнований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D66EA4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220CD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,5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балла, максимальная – 100,0 баллов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CF4475">
        <w:rPr>
          <w:rFonts w:ascii="Times New Roman" w:hAnsi="Times New Roman" w:cs="Times New Roman"/>
          <w:snapToGrid w:val="0"/>
          <w:sz w:val="28"/>
          <w:szCs w:val="28"/>
        </w:rPr>
        <w:t>СНД, администрация, УГОЧС, ГКМХ, УАЗ, ККиС, КУМИ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, финансовое управление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). Не достигли целевого показателя 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Дорожник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 xml:space="preserve">и управление образования 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>(62,5 балла, отклон</w:t>
      </w:r>
      <w:r w:rsidR="007E3AE4">
        <w:rPr>
          <w:rFonts w:ascii="Times New Roman" w:hAnsi="Times New Roman" w:cs="Times New Roman"/>
          <w:snapToGrid w:val="0"/>
          <w:sz w:val="28"/>
          <w:szCs w:val="28"/>
        </w:rPr>
        <w:t>ение от целевого значения 22%)</w:t>
      </w:r>
      <w:r w:rsidR="00BB6B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0CA3" w:rsidRDefault="00642014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Основным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фактор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074F6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является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то, что г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лавными администраторами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5B62E3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не обеспечена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на должном уровне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равномерность расходования средств бюджета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 w:rsidR="004F010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не должен превышать 138%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среднеквартального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9 месяцев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отчетного года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14BBE" w:rsidRPr="006B60A1" w:rsidRDefault="006B60A1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Для </w:t>
      </w:r>
      <w:r w:rsidR="00460CA3">
        <w:rPr>
          <w:rFonts w:ascii="Times New Roman" w:hAnsi="Times New Roman" w:cs="Times New Roman"/>
          <w:snapToGrid w:val="0"/>
          <w:sz w:val="28"/>
          <w:szCs w:val="28"/>
        </w:rPr>
        <w:t>обеспечения сопоставимости условий при проведении оценки равномерности кассовых расходов по ГКМХ не учитывались кассовые расходы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строительство станции водоподготовки УВС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подъема и на </w:t>
      </w:r>
      <w:r w:rsidRPr="006B60A1">
        <w:rPr>
          <w:rFonts w:ascii="Times New Roman" w:hAnsi="Times New Roman" w:cs="Times New Roman"/>
          <w:snapToGrid w:val="0"/>
          <w:sz w:val="28"/>
          <w:szCs w:val="28"/>
        </w:rPr>
        <w:t>возмещение недополученных доходов и (или) финансовое обеспечение (во</w:t>
      </w:r>
      <w:r>
        <w:rPr>
          <w:rFonts w:ascii="Times New Roman" w:hAnsi="Times New Roman" w:cs="Times New Roman"/>
          <w:snapToGrid w:val="0"/>
          <w:sz w:val="28"/>
          <w:szCs w:val="28"/>
        </w:rPr>
        <w:t>змещение) затрат ЖКХ в связи</w:t>
      </w:r>
      <w:r w:rsidRPr="006B60A1">
        <w:rPr>
          <w:rFonts w:ascii="Times New Roman" w:hAnsi="Times New Roman" w:cs="Times New Roman"/>
          <w:snapToGrid w:val="0"/>
          <w:sz w:val="28"/>
          <w:szCs w:val="28"/>
        </w:rPr>
        <w:t xml:space="preserve"> с оказанием ком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мунальной </w:t>
      </w:r>
      <w:r w:rsidRPr="006B60A1">
        <w:rPr>
          <w:rFonts w:ascii="Times New Roman" w:hAnsi="Times New Roman" w:cs="Times New Roman"/>
          <w:snapToGrid w:val="0"/>
          <w:sz w:val="28"/>
          <w:szCs w:val="28"/>
        </w:rPr>
        <w:t>услуги по горячему водоснабжению</w:t>
      </w:r>
      <w:r>
        <w:rPr>
          <w:rFonts w:ascii="Times New Roman" w:hAnsi="Times New Roman" w:cs="Times New Roman"/>
          <w:snapToGrid w:val="0"/>
          <w:sz w:val="28"/>
          <w:szCs w:val="28"/>
        </w:rPr>
        <w:t>, по которым решение о предоставлении целевых межбюджетных трансфертов принято Правительством Владимирской области в декабре 2023 года.</w:t>
      </w:r>
    </w:p>
    <w:p w:rsidR="00014BBE" w:rsidRDefault="005B62E3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«Равномерность кассовых расходов бюджета»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6B60A1">
        <w:rPr>
          <w:rFonts w:ascii="Times New Roman" w:hAnsi="Times New Roman" w:cs="Times New Roman"/>
          <w:snapToGrid w:val="0"/>
          <w:sz w:val="28"/>
          <w:szCs w:val="28"/>
        </w:rPr>
        <w:t>65,6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 (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 xml:space="preserve"> 18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%),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оценку выше целевого значения получили администрация (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95,6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 xml:space="preserve">ГКМХ (100,0 баллов),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Дорожник (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), ККиС (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81,1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балл)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429D9" w:rsidRDefault="002429D9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Оценку ниже целевого значения</w:t>
      </w:r>
      <w:r w:rsidRPr="002429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показателя получили:</w:t>
      </w:r>
    </w:p>
    <w:p w:rsidR="00334324" w:rsidRDefault="00334324" w:rsidP="0033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финансовое управление – 61,1 баллов (отклонение от целевого значения 24%, 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145%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3B74C6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 xml:space="preserve">СНД – 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60,0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 xml:space="preserve">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25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%,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составляет 1</w:t>
      </w:r>
      <w:r w:rsidR="008F7178">
        <w:rPr>
          <w:rFonts w:ascii="Times New Roman" w:hAnsi="Times New Roman" w:cs="Times New Roman"/>
          <w:snapToGrid w:val="0"/>
          <w:sz w:val="28"/>
          <w:szCs w:val="28"/>
        </w:rPr>
        <w:t>46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% среднеквартального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334324" w:rsidRDefault="00334324" w:rsidP="0033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КУМИ – 54,4 баллов (отклонение от целевого значения 32%, 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151%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334324" w:rsidRDefault="00334324" w:rsidP="0033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управление образования – 53,3 баллов (отклонение от целевого значения 33%, 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152%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334324" w:rsidRDefault="00334324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‣ УАЗ – 47,8 баллов (отклонение от целевого значения 40%, 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157%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8F7178" w:rsidRDefault="008F7178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УГОЧС – 2,2 балла (отклонение от целевого значения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97</w:t>
      </w:r>
      <w:r>
        <w:rPr>
          <w:rFonts w:ascii="Times New Roman" w:hAnsi="Times New Roman" w:cs="Times New Roman"/>
          <w:snapToGrid w:val="0"/>
          <w:sz w:val="28"/>
          <w:szCs w:val="28"/>
        </w:rPr>
        <w:t>%, 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198%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года).</w:t>
      </w:r>
    </w:p>
    <w:p w:rsidR="006A4ED3" w:rsidRDefault="00363A6A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Главным администраторам </w:t>
      </w:r>
      <w:r w:rsidR="00593F17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>при исполнении бюджета города по расходам следует обратить особое внимание на обеспечение равномерности расходова</w:t>
      </w:r>
      <w:r w:rsidR="00E601A9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r w:rsidR="00593F17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</w:t>
      </w:r>
      <w:r w:rsidR="00E601A9">
        <w:rPr>
          <w:rFonts w:ascii="Times New Roman" w:hAnsi="Times New Roman" w:cs="Times New Roman"/>
          <w:snapToGrid w:val="0"/>
          <w:sz w:val="28"/>
          <w:szCs w:val="28"/>
        </w:rPr>
        <w:t>средств</w:t>
      </w:r>
      <w:r w:rsidR="00654FA0">
        <w:rPr>
          <w:rFonts w:ascii="Times New Roman" w:hAnsi="Times New Roman" w:cs="Times New Roman"/>
          <w:snapToGrid w:val="0"/>
          <w:sz w:val="28"/>
          <w:szCs w:val="28"/>
        </w:rPr>
        <w:t>, а также продолжить работу по повышению качества планирования бюджетных ассигнований на исполнение расходных обязательств муниципального образования</w:t>
      </w:r>
      <w:r w:rsidR="005943B2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324" w:rsidRPr="007E3AE4">
        <w:rPr>
          <w:rFonts w:ascii="Times New Roman" w:hAnsi="Times New Roman" w:cs="Times New Roman"/>
          <w:sz w:val="28"/>
          <w:szCs w:val="28"/>
        </w:rPr>
        <w:t>соблюдение порядка принятия бюджетных обязательств на закупку товаров, работ и услуг</w:t>
      </w:r>
      <w:r w:rsidR="006A4ED3">
        <w:rPr>
          <w:rFonts w:ascii="Times New Roman" w:hAnsi="Times New Roman" w:cs="Times New Roman"/>
          <w:sz w:val="28"/>
          <w:szCs w:val="28"/>
        </w:rPr>
        <w:t>.</w:t>
      </w:r>
    </w:p>
    <w:p w:rsidR="00602E70" w:rsidRDefault="006A4ED3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569F9">
        <w:rPr>
          <w:rFonts w:ascii="Times New Roman" w:hAnsi="Times New Roman" w:cs="Times New Roman"/>
          <w:b/>
          <w:sz w:val="28"/>
          <w:szCs w:val="28"/>
        </w:rPr>
        <w:t>О</w:t>
      </w:r>
      <w:r w:rsidR="004E3591" w:rsidRPr="002569F9">
        <w:rPr>
          <w:rFonts w:ascii="Times New Roman" w:hAnsi="Times New Roman" w:cs="Times New Roman"/>
          <w:b/>
          <w:sz w:val="28"/>
          <w:szCs w:val="28"/>
        </w:rPr>
        <w:t>ценк</w:t>
      </w:r>
      <w:r w:rsidR="003B3CA6" w:rsidRPr="002569F9">
        <w:rPr>
          <w:rFonts w:ascii="Times New Roman" w:hAnsi="Times New Roman" w:cs="Times New Roman"/>
          <w:b/>
          <w:sz w:val="28"/>
          <w:szCs w:val="28"/>
        </w:rPr>
        <w:t>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E3591" w:rsidRPr="00C64C1D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исполнени</w:t>
      </w:r>
      <w:r w:rsidR="00E12217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судебных актов</w:t>
      </w:r>
    </w:p>
    <w:p w:rsidR="00E12217" w:rsidRDefault="006A4ED3" w:rsidP="00CF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>Оценка качества финансового менеджмента по направлению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02E70">
        <w:rPr>
          <w:rFonts w:ascii="Times New Roman" w:hAnsi="Times New Roman" w:cs="Times New Roman"/>
          <w:snapToGrid w:val="0"/>
          <w:sz w:val="28"/>
          <w:szCs w:val="28"/>
        </w:rPr>
        <w:t>«Исполнение судебных актов»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2217">
        <w:rPr>
          <w:rFonts w:ascii="Times New Roman" w:hAnsi="Times New Roman" w:cs="Times New Roman"/>
          <w:snapToGrid w:val="0"/>
          <w:sz w:val="28"/>
          <w:szCs w:val="28"/>
        </w:rPr>
        <w:t xml:space="preserve">произведена на основании данных, представленных главными администраторами средств городского бюджета.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E12217">
        <w:rPr>
          <w:rFonts w:ascii="Times New Roman" w:hAnsi="Times New Roman" w:cs="Times New Roman"/>
          <w:snapToGrid w:val="0"/>
          <w:sz w:val="28"/>
          <w:szCs w:val="28"/>
        </w:rPr>
        <w:t xml:space="preserve">семи главными администраторами </w:t>
      </w:r>
      <w:r w:rsidR="00593F17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E12217">
        <w:rPr>
          <w:rFonts w:ascii="Times New Roman" w:hAnsi="Times New Roman" w:cs="Times New Roman"/>
          <w:snapToGrid w:val="0"/>
          <w:sz w:val="28"/>
          <w:szCs w:val="28"/>
        </w:rPr>
        <w:t>достигнуто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 целевое знач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ение оценки качества управления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6A4ED3" w:rsidRPr="00CF0842" w:rsidRDefault="00CF0842" w:rsidP="00CF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редняя оценка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составила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баллов.</w:t>
      </w:r>
    </w:p>
    <w:p w:rsidR="00334324" w:rsidRDefault="004E3591" w:rsidP="0033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результатам проведенного мониторинга установлено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следующее:</w:t>
      </w:r>
    </w:p>
    <w:p w:rsidR="004E3591" w:rsidRDefault="00334324" w:rsidP="0033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E3591" w:rsidRPr="004E3591">
        <w:rPr>
          <w:rFonts w:ascii="Times New Roman" w:hAnsi="Times New Roman" w:cs="Times New Roman"/>
          <w:snapToGrid w:val="0"/>
          <w:sz w:val="28"/>
          <w:szCs w:val="28"/>
        </w:rPr>
        <w:t>уведомлени</w:t>
      </w:r>
      <w:r w:rsidR="004E3591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4E3591"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 приостановлении операций по расходованию средств на лицевых счетах, открытых в органах Федерального казначейства, получател</w:t>
      </w:r>
      <w:r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="004E3591"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бюджета, </w:t>
      </w:r>
      <w:r w:rsidR="004E3591"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главных администраторов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 в</w:t>
      </w:r>
      <w:r w:rsidR="004E3591"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отчетном периоде органами Федерального казначейства</w:t>
      </w:r>
      <w:r w:rsidR="004E3591">
        <w:rPr>
          <w:rFonts w:ascii="Times New Roman" w:hAnsi="Times New Roman" w:cs="Times New Roman"/>
          <w:snapToGrid w:val="0"/>
          <w:sz w:val="28"/>
          <w:szCs w:val="28"/>
        </w:rPr>
        <w:t xml:space="preserve"> не направлялись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позитивный фактор)</w:t>
      </w:r>
      <w:r w:rsidR="004E359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A6310" w:rsidRPr="006D29C2" w:rsidRDefault="006B7F73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по данным, представленным главными администраторами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городского бюджета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>исковы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требовани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D29C2">
        <w:rPr>
          <w:rFonts w:ascii="Times New Roman" w:hAnsi="Times New Roman" w:cs="Times New Roman"/>
          <w:snapToGrid w:val="0"/>
          <w:sz w:val="28"/>
          <w:szCs w:val="28"/>
        </w:rPr>
        <w:t>о возмещении ущерба от незаконных действий или бездействия главн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="006D29C2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6D29C2"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="006D29C2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должностных лиц,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 xml:space="preserve">а также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>исковы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требования к главн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>или к подведомственным учреждениям, предъявленны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по денежным обязательствам получателей бюджетных средств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324">
        <w:rPr>
          <w:rFonts w:ascii="Times New Roman" w:hAnsi="Times New Roman" w:cs="Times New Roman"/>
          <w:snapToGrid w:val="0"/>
          <w:sz w:val="28"/>
          <w:szCs w:val="28"/>
        </w:rPr>
        <w:t>не предъявлялись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334324">
        <w:rPr>
          <w:rFonts w:ascii="Times New Roman" w:hAnsi="Times New Roman" w:cs="Times New Roman"/>
          <w:i/>
          <w:snapToGrid w:val="0"/>
          <w:sz w:val="28"/>
          <w:szCs w:val="28"/>
        </w:rPr>
        <w:t>позитивный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фактор)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3591" w:rsidRPr="00C82BC8" w:rsidRDefault="006A4ED3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ценка</w:t>
      </w:r>
      <w:r w:rsidR="00602E70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 w:rsidRPr="002569F9">
        <w:rPr>
          <w:rFonts w:ascii="Times New Roman" w:hAnsi="Times New Roman" w:cs="Times New Roman"/>
          <w:b/>
          <w:sz w:val="28"/>
          <w:szCs w:val="28"/>
        </w:rPr>
        <w:t>у</w:t>
      </w:r>
      <w:r w:rsidR="00602E70" w:rsidRPr="002569F9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292760" w:rsidRPr="002569F9">
        <w:rPr>
          <w:rFonts w:ascii="Times New Roman" w:hAnsi="Times New Roman" w:cs="Times New Roman"/>
          <w:b/>
          <w:sz w:val="28"/>
          <w:szCs w:val="28"/>
        </w:rPr>
        <w:t>я</w:t>
      </w:r>
      <w:r w:rsidR="00602E70" w:rsidRPr="00602E7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доходами </w:t>
      </w:r>
      <w:r w:rsidR="00602E70" w:rsidRPr="00C82BC8">
        <w:rPr>
          <w:rFonts w:ascii="Times New Roman" w:hAnsi="Times New Roman" w:cs="Times New Roman"/>
          <w:b/>
          <w:snapToGrid w:val="0"/>
          <w:sz w:val="28"/>
          <w:szCs w:val="28"/>
        </w:rPr>
        <w:t>бюджета</w:t>
      </w:r>
    </w:p>
    <w:p w:rsidR="00E12217" w:rsidRDefault="0062331A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качества управления доходами рассчитыва</w:t>
      </w:r>
      <w:r w:rsidR="00E12217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bCs/>
          <w:sz w:val="28"/>
          <w:szCs w:val="28"/>
        </w:rPr>
        <w:t>по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группам источников доходов 100 </w:t>
      </w:r>
      <w:r w:rsidRPr="000B22B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22B6">
        <w:rPr>
          <w:rFonts w:ascii="Times New Roman" w:hAnsi="Times New Roman" w:cs="Times New Roman"/>
          <w:bCs/>
          <w:sz w:val="28"/>
          <w:szCs w:val="28"/>
        </w:rPr>
        <w:t>алоговые и неналоговые д</w:t>
      </w:r>
      <w:r>
        <w:rPr>
          <w:rFonts w:ascii="Times New Roman" w:hAnsi="Times New Roman" w:cs="Times New Roman"/>
          <w:bCs/>
          <w:sz w:val="28"/>
          <w:szCs w:val="28"/>
        </w:rPr>
        <w:t>оходы», закрепленных за главными администраторами средств городского бюджета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bCs/>
          <w:sz w:val="28"/>
          <w:szCs w:val="28"/>
        </w:rPr>
        <w:t>. Данному условию по итогам исполнения бюджета города за 202</w:t>
      </w:r>
      <w:r w:rsidR="0033432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удовлетворяют 5 из 10 главных администраторов</w:t>
      </w:r>
      <w:r w:rsidR="00051E58" w:rsidRPr="00051E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 – администрация, ГКМХ, УАЗ, Дорожник, КУМИ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3F17" w:rsidRDefault="00A33C8F" w:rsidP="00593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Средняя о</w:t>
      </w:r>
      <w:r w:rsidR="007F05D3">
        <w:rPr>
          <w:rFonts w:ascii="Times New Roman" w:hAnsi="Times New Roman" w:cs="Times New Roman"/>
          <w:bCs/>
          <w:sz w:val="28"/>
          <w:szCs w:val="28"/>
        </w:rPr>
        <w:t>ценка качества управления по доходам составил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C1290">
        <w:rPr>
          <w:rFonts w:ascii="Times New Roman" w:hAnsi="Times New Roman" w:cs="Times New Roman"/>
          <w:bCs/>
          <w:sz w:val="28"/>
          <w:szCs w:val="28"/>
        </w:rPr>
        <w:t>88,3</w:t>
      </w:r>
      <w:r w:rsidR="00593F17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F17">
        <w:rPr>
          <w:rFonts w:ascii="Times New Roman" w:hAnsi="Times New Roman" w:cs="Times New Roman"/>
          <w:bCs/>
          <w:sz w:val="28"/>
          <w:szCs w:val="28"/>
        </w:rPr>
        <w:t>Оценку выше целевого значения получили: администрация – 100,0 баллов, УАЗ – 98,7 баллов, Дорожник – 84,3 балла, ГКМХ – 83,3 балла. Минимальную оценку получил КУМИ – 75,1 баллов (отклонение от целевого значения 6%).</w:t>
      </w:r>
    </w:p>
    <w:p w:rsidR="00B905AD" w:rsidRDefault="00B905AD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следует отнести:</w:t>
      </w:r>
    </w:p>
    <w:p w:rsidR="00B07E8B" w:rsidRDefault="00B905AD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качеств</w:t>
      </w:r>
      <w:r w:rsidR="009B14F4">
        <w:rPr>
          <w:rFonts w:ascii="Times New Roman" w:hAnsi="Times New Roman" w:cs="Times New Roman"/>
          <w:bCs/>
          <w:sz w:val="28"/>
          <w:szCs w:val="28"/>
        </w:rPr>
        <w:t>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</w:t>
      </w:r>
      <w:r w:rsidR="009B14F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доходов. Для достижения целевого значения неисполнение бюджета по доходам должно составлять менее 1</w:t>
      </w:r>
      <w:r w:rsidR="00051E5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Качество планирования поступлений доходов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167512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B4C76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возвратов 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 – менее 5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3232A2">
        <w:rPr>
          <w:rFonts w:ascii="Times New Roman" w:hAnsi="Times New Roman" w:cs="Times New Roman"/>
          <w:bCs/>
          <w:sz w:val="28"/>
          <w:szCs w:val="28"/>
        </w:rPr>
        <w:t xml:space="preserve"> кассового исполнения по доходам в отчетном периоде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67512">
        <w:rPr>
          <w:rFonts w:ascii="Times New Roman" w:hAnsi="Times New Roman" w:cs="Times New Roman"/>
          <w:bCs/>
          <w:sz w:val="28"/>
          <w:szCs w:val="28"/>
        </w:rPr>
        <w:t>оля возвратов 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51580F" w:rsidP="00515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наличие утвержденной методики прогнозирования поступлений доходов в бюджет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у в</w:t>
      </w:r>
      <w:r>
        <w:rPr>
          <w:rFonts w:ascii="Times New Roman" w:hAnsi="Times New Roman" w:cs="Times New Roman"/>
          <w:bCs/>
          <w:sz w:val="28"/>
          <w:szCs w:val="28"/>
        </w:rPr>
        <w:t>се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главны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 w:rsidR="00B07E8B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мониторингу </w:t>
      </w:r>
      <w:r w:rsidRPr="00167512">
        <w:rPr>
          <w:rFonts w:ascii="Times New Roman" w:hAnsi="Times New Roman" w:cs="Times New Roman"/>
          <w:bCs/>
          <w:sz w:val="28"/>
          <w:szCs w:val="28"/>
        </w:rPr>
        <w:t>качества финансового менеджмента по доходам</w:t>
      </w:r>
      <w:r w:rsidR="00B07E8B">
        <w:rPr>
          <w:rFonts w:ascii="Times New Roman" w:hAnsi="Times New Roman" w:cs="Times New Roman"/>
          <w:bCs/>
          <w:sz w:val="28"/>
          <w:szCs w:val="28"/>
        </w:rPr>
        <w:t>.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167512">
        <w:rPr>
          <w:rFonts w:ascii="Times New Roman" w:hAnsi="Times New Roman" w:cs="Times New Roman"/>
          <w:bCs/>
          <w:sz w:val="28"/>
          <w:szCs w:val="28"/>
        </w:rPr>
        <w:t>представ</w:t>
      </w:r>
      <w:r w:rsidR="00B07E8B">
        <w:rPr>
          <w:rFonts w:ascii="Times New Roman" w:hAnsi="Times New Roman" w:cs="Times New Roman"/>
          <w:bCs/>
          <w:sz w:val="28"/>
          <w:szCs w:val="28"/>
        </w:rPr>
        <w:t>ленные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методики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доходов в бюджет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утверждены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порядке.</w:t>
      </w: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Наличие утвержденной методики прогнозирования поступлений доходов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67512">
        <w:rPr>
          <w:rFonts w:ascii="Times New Roman" w:hAnsi="Times New Roman" w:cs="Times New Roman"/>
          <w:bCs/>
          <w:sz w:val="28"/>
          <w:szCs w:val="28"/>
        </w:rPr>
        <w:t xml:space="preserve">) невысокая доля </w:t>
      </w:r>
      <w:r w:rsidR="00167512" w:rsidRPr="00167512">
        <w:rPr>
          <w:rFonts w:ascii="Times New Roman" w:hAnsi="Times New Roman" w:cs="Times New Roman"/>
          <w:bCs/>
          <w:sz w:val="28"/>
          <w:szCs w:val="28"/>
        </w:rPr>
        <w:t>невыясненных поступлений</w:t>
      </w:r>
      <w:r w:rsidR="00167512"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для достижения целевого значения</w:t>
      </w:r>
      <w:r w:rsidR="00B07E8B" w:rsidRP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оценки качества финансового менеджмента</w:t>
      </w:r>
      <w:r w:rsidR="00051E58">
        <w:rPr>
          <w:rFonts w:ascii="Times New Roman" w:hAnsi="Times New Roman" w:cs="Times New Roman"/>
          <w:bCs/>
          <w:sz w:val="28"/>
          <w:szCs w:val="28"/>
        </w:rPr>
        <w:t xml:space="preserve"> – менее 3</w:t>
      </w:r>
      <w:r w:rsidR="00B07E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167512" w:rsidRDefault="003E1B71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Средняя оценка 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по показателю «Доля уточненных невыясненных поступлений»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B4C76">
        <w:rPr>
          <w:rFonts w:ascii="Times New Roman" w:hAnsi="Times New Roman" w:cs="Times New Roman"/>
          <w:bCs/>
          <w:sz w:val="28"/>
          <w:szCs w:val="28"/>
        </w:rPr>
        <w:t>90,7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баллов, максимальная – 100,0 баллов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B4C76">
        <w:rPr>
          <w:rFonts w:ascii="Times New Roman" w:hAnsi="Times New Roman" w:cs="Times New Roman"/>
          <w:bCs/>
          <w:sz w:val="28"/>
          <w:szCs w:val="28"/>
        </w:rPr>
        <w:t xml:space="preserve">администрация, </w:t>
      </w:r>
      <w:r w:rsidR="00B07E8B">
        <w:rPr>
          <w:rFonts w:ascii="Times New Roman" w:hAnsi="Times New Roman" w:cs="Times New Roman"/>
          <w:bCs/>
          <w:sz w:val="28"/>
          <w:szCs w:val="28"/>
        </w:rPr>
        <w:t>ГКМХ, УАЗ, КУМИ)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минимальная – </w:t>
      </w:r>
      <w:r w:rsidR="007B4C76">
        <w:rPr>
          <w:rFonts w:ascii="Times New Roman" w:hAnsi="Times New Roman" w:cs="Times New Roman"/>
          <w:bCs/>
          <w:sz w:val="28"/>
          <w:szCs w:val="28"/>
        </w:rPr>
        <w:t>53,3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B4C76">
        <w:rPr>
          <w:rFonts w:ascii="Times New Roman" w:hAnsi="Times New Roman" w:cs="Times New Roman"/>
          <w:bCs/>
          <w:sz w:val="28"/>
          <w:szCs w:val="28"/>
        </w:rPr>
        <w:t>Дорожник, доля невыясненных поступлений составила 7% всех администрируемым собственных доходов, отклонение от целевого показателя – 33%</w:t>
      </w:r>
      <w:r w:rsidR="00B07E8B">
        <w:rPr>
          <w:rFonts w:ascii="Times New Roman" w:hAnsi="Times New Roman" w:cs="Times New Roman"/>
          <w:bCs/>
          <w:sz w:val="28"/>
          <w:szCs w:val="28"/>
        </w:rPr>
        <w:t>)</w:t>
      </w:r>
      <w:r w:rsidR="0051580F">
        <w:rPr>
          <w:rFonts w:ascii="Times New Roman" w:hAnsi="Times New Roman" w:cs="Times New Roman"/>
          <w:bCs/>
          <w:sz w:val="28"/>
          <w:szCs w:val="28"/>
        </w:rPr>
        <w:t>;</w:t>
      </w:r>
    </w:p>
    <w:p w:rsidR="00B07E8B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snapToGrid w:val="0"/>
          <w:sz w:val="28"/>
          <w:szCs w:val="28"/>
        </w:rPr>
        <w:t>снижение уровня</w:t>
      </w:r>
      <w:r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 просроченной дебиторской задолженности по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латежам в бюджет в течение отчетного периода. Для достижения заданного целевого значения оценки качества финансового менеджмента рост просроченной дебиторской задолженности относительного предыдущего года недопустим. </w:t>
      </w:r>
    </w:p>
    <w:p w:rsidR="0051580F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«Качество управления просроченной дебиторской задолженностью по платежам в бюджет» – </w:t>
      </w:r>
      <w:r w:rsidR="007B4C76">
        <w:rPr>
          <w:rFonts w:ascii="Times New Roman" w:hAnsi="Times New Roman" w:cs="Times New Roman"/>
          <w:snapToGrid w:val="0"/>
          <w:sz w:val="28"/>
          <w:szCs w:val="28"/>
        </w:rPr>
        <w:t>90,1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баллов, максимальная – 100,0 баллов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(администрация, ГКМХ, УАЗ, Дорожник)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минимальная – </w:t>
      </w:r>
      <w:r w:rsidR="007B4C76">
        <w:rPr>
          <w:rFonts w:ascii="Times New Roman" w:hAnsi="Times New Roman" w:cs="Times New Roman"/>
          <w:snapToGrid w:val="0"/>
          <w:sz w:val="28"/>
          <w:szCs w:val="28"/>
        </w:rPr>
        <w:t>50,5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 xml:space="preserve"> (КУМИ</w:t>
      </w:r>
      <w:r w:rsidR="007B4C7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показателя – 34%, </w:t>
      </w:r>
      <w:r w:rsidR="007B4C76">
        <w:rPr>
          <w:rFonts w:ascii="Times New Roman" w:hAnsi="Times New Roman" w:cs="Times New Roman"/>
          <w:snapToGrid w:val="0"/>
          <w:sz w:val="28"/>
          <w:szCs w:val="28"/>
        </w:rPr>
        <w:t>снижение просроченной дебиторской задолженности по администрируемым собственным доходам в течение отчетного года составило 25%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07E8B" w:rsidRDefault="0051580F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Ф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>актор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м, </w:t>
      </w:r>
      <w:r w:rsidR="0016751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</w:t>
      </w:r>
      <w:r>
        <w:rPr>
          <w:rFonts w:ascii="Times New Roman" w:hAnsi="Times New Roman" w:cs="Times New Roman"/>
          <w:snapToGrid w:val="0"/>
          <w:sz w:val="28"/>
          <w:szCs w:val="28"/>
        </w:rPr>
        <w:t>является</w:t>
      </w:r>
      <w:r w:rsidR="006D64F5">
        <w:rPr>
          <w:rFonts w:ascii="Times New Roman" w:hAnsi="Times New Roman" w:cs="Times New Roman"/>
          <w:snapToGrid w:val="0"/>
          <w:sz w:val="28"/>
          <w:szCs w:val="28"/>
        </w:rPr>
        <w:t xml:space="preserve"> высокий уровень 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>дебиторской задолженности по доходам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 по состоянию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sz w:val="28"/>
          <w:szCs w:val="28"/>
        </w:rPr>
        <w:t>01.01.202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>, что говорит о накоплении значительного объема денежных средств, не перечисленных в доход бюджета по установленным основаниям в течение отчетного периода.</w:t>
      </w:r>
      <w:r w:rsidR="006D64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 xml:space="preserve">Для достижения целевого показателя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дебиторская задолженность по доходам на отчетную дату должна составлять не более 5% объема кассового исполнения по доходам за отчетный год.</w:t>
      </w:r>
    </w:p>
    <w:p w:rsidR="00AC4798" w:rsidRDefault="003E1B71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«Эффективность управления дебиторской задолженностью по доходам»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составила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>48,8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 (отклонение от целевого значения 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>39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ценк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выше целевого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значения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 xml:space="preserve"> получили администрация (100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 xml:space="preserve"> баллов)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УАЗ (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92,0 балла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ценк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ниже целевого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значения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 получили:</w:t>
      </w:r>
    </w:p>
    <w:p w:rsidR="005A17A0" w:rsidRDefault="005A17A0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Дорожник – 52,0 балла (отклонение от целевого показателя 35%, дебиторская задолженность по доходам на отчетную дату составила 12% объема кассового исполнения по доходам за отчетный год),</w:t>
      </w:r>
    </w:p>
    <w:p w:rsidR="00AC4798" w:rsidRDefault="00AC4798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ГКМХ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,0 балл</w:t>
      </w:r>
      <w:r w:rsidR="005A17A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(дебиторская задолженность по доходам на отчетную дату составила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32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% объема кассового исполнения по доходам за отчетный год)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</w:p>
    <w:p w:rsidR="00B07E8B" w:rsidRDefault="00AC4798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КУМИ –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0,0 баллов (аналогичный показатель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46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167512" w:rsidRDefault="00CE2A6D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лавным администраторам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>необходимо обратить особое внимание на повышение качества контроля за процедурами, связанными с управлением дебиторской задолженностью по платежам в бю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джет, а кроме того </w:t>
      </w:r>
      <w:r w:rsidR="003C1368">
        <w:rPr>
          <w:rFonts w:ascii="Times New Roman" w:hAnsi="Times New Roman" w:cs="Times New Roman"/>
          <w:snapToGrid w:val="0"/>
          <w:sz w:val="28"/>
          <w:szCs w:val="28"/>
        </w:rPr>
        <w:t>продолжить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мероприятий по снижению уровня просроченной дебиторской задолженности по доходам.</w:t>
      </w:r>
    </w:p>
    <w:p w:rsidR="00167512" w:rsidRPr="006D64F5" w:rsidRDefault="006D64F5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>чет и составлени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D763C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бюджетной отчетности</w:t>
      </w:r>
    </w:p>
    <w:p w:rsidR="00D763C6" w:rsidRDefault="009228EC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По показателям </w:t>
      </w:r>
      <w:r w:rsidRPr="006D64F5">
        <w:rPr>
          <w:rFonts w:ascii="Times New Roman" w:hAnsi="Times New Roman" w:cs="Times New Roman"/>
          <w:sz w:val="28"/>
          <w:szCs w:val="28"/>
        </w:rPr>
        <w:t xml:space="preserve">качества ведения учета и составления бюджетной отчетности все главные администраторы </w:t>
      </w:r>
      <w:r w:rsidR="00EC5B4C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Pr="006D64F5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2F648A" w:rsidRPr="006D64F5">
        <w:rPr>
          <w:rFonts w:ascii="Times New Roman" w:hAnsi="Times New Roman" w:cs="Times New Roman"/>
          <w:sz w:val="28"/>
          <w:szCs w:val="28"/>
        </w:rPr>
        <w:t xml:space="preserve">максимальную оценку </w:t>
      </w:r>
      <w:r w:rsidRPr="006D64F5">
        <w:rPr>
          <w:rFonts w:ascii="Times New Roman" w:hAnsi="Times New Roman" w:cs="Times New Roman"/>
          <w:sz w:val="28"/>
          <w:szCs w:val="28"/>
        </w:rPr>
        <w:t>100</w:t>
      </w:r>
      <w:r w:rsidR="006D64F5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6D64F5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D763C6">
        <w:rPr>
          <w:rFonts w:ascii="Times New Roman" w:hAnsi="Times New Roman" w:cs="Times New Roman"/>
          <w:sz w:val="28"/>
          <w:szCs w:val="28"/>
        </w:rPr>
        <w:t xml:space="preserve"> следующих факторов: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 установленных фактов искажений показателей бюджетной отчетности</w:t>
      </w:r>
      <w:r w:rsid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6D64F5" w:rsidRPr="006D64F5">
        <w:rPr>
          <w:rFonts w:ascii="Times New Roman" w:hAnsi="Times New Roman" w:cs="Times New Roman"/>
          <w:sz w:val="28"/>
          <w:szCs w:val="28"/>
        </w:rPr>
        <w:t>выражен</w:t>
      </w:r>
      <w:r w:rsidR="006D64F5">
        <w:rPr>
          <w:rFonts w:ascii="Times New Roman" w:hAnsi="Times New Roman" w:cs="Times New Roman"/>
          <w:sz w:val="28"/>
          <w:szCs w:val="28"/>
        </w:rPr>
        <w:t>н</w:t>
      </w:r>
      <w:r w:rsidR="006D64F5" w:rsidRPr="006D64F5">
        <w:rPr>
          <w:rFonts w:ascii="Times New Roman" w:hAnsi="Times New Roman" w:cs="Times New Roman"/>
          <w:sz w:val="28"/>
          <w:szCs w:val="28"/>
        </w:rPr>
        <w:t>о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6D64F5" w:rsidRPr="006D64F5">
        <w:rPr>
          <w:rFonts w:ascii="Times New Roman" w:hAnsi="Times New Roman" w:cs="Times New Roman"/>
          <w:sz w:val="28"/>
          <w:szCs w:val="28"/>
        </w:rPr>
        <w:t xml:space="preserve"> по результатам проведения внешней проверки годового отчета об исполнении бюджета</w:t>
      </w:r>
      <w:r w:rsidRPr="00D763C6">
        <w:rPr>
          <w:rFonts w:ascii="Times New Roman" w:hAnsi="Times New Roman" w:cs="Times New Roman"/>
          <w:sz w:val="28"/>
          <w:szCs w:val="28"/>
        </w:rPr>
        <w:t xml:space="preserve"> </w:t>
      </w:r>
      <w:r w:rsidRPr="006D64F5">
        <w:rPr>
          <w:rFonts w:ascii="Times New Roman" w:hAnsi="Times New Roman" w:cs="Times New Roman"/>
          <w:sz w:val="28"/>
          <w:szCs w:val="28"/>
        </w:rPr>
        <w:t>независимо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28EC" w:rsidRPr="006D64F5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2F648A" w:rsidRPr="006D64F5">
        <w:rPr>
          <w:rFonts w:ascii="Times New Roman" w:hAnsi="Times New Roman" w:cs="Times New Roman"/>
          <w:sz w:val="28"/>
          <w:szCs w:val="28"/>
        </w:rPr>
        <w:t>зафиксированных нарушений порядка формирования и представления сводной бюджетной отчетности, порядка проведения инвентаризации активов и обязательств.</w:t>
      </w:r>
    </w:p>
    <w:p w:rsidR="00B90004" w:rsidRPr="00B90004" w:rsidRDefault="00B90004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организации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осуществлени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 внутреннего финансового аудита</w:t>
      </w:r>
    </w:p>
    <w:p w:rsidR="008E5181" w:rsidRDefault="008E5181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По показателям </w:t>
      </w:r>
      <w:r w:rsidRPr="008E5181">
        <w:rPr>
          <w:rFonts w:ascii="Times New Roman" w:hAnsi="Times New Roman" w:cs="Times New Roman"/>
          <w:snapToGrid w:val="0"/>
          <w:sz w:val="28"/>
          <w:szCs w:val="28"/>
        </w:rPr>
        <w:t>качества организации и осуществления внутреннего финансового аудита все главные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администраторы </w:t>
      </w:r>
      <w:r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Pr="006D64F5">
        <w:rPr>
          <w:rFonts w:ascii="Times New Roman" w:hAnsi="Times New Roman" w:cs="Times New Roman"/>
          <w:sz w:val="28"/>
          <w:szCs w:val="28"/>
        </w:rPr>
        <w:t>получили максимальную оценку 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90004" w:rsidRDefault="00B90004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мониторинга отмечено, что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всеми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главными администраторами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реализуются бюджетные полномочия, предусмотренные Бюджетным кодексом Российской Федерации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, в 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lastRenderedPageBreak/>
        <w:t>част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осуществления внутреннего финансового аудита.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При этом три из десяти главных администраторов средств городского бюджета воспользовались правом осуществления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внутреннего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финансов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аудит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а по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упрощенной системе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(согласно пункту 3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Минфина России от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18.12.2019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№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237н).</w:t>
      </w:r>
    </w:p>
    <w:p w:rsidR="002D73BB" w:rsidRPr="005F5103" w:rsidRDefault="005F5103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тмечено отсутствие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нарушений, выявленных по результатам проверок, проведенных Счетной палат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5E086D">
        <w:rPr>
          <w:rFonts w:ascii="Times New Roman" w:hAnsi="Times New Roman" w:cs="Times New Roman"/>
          <w:snapToGrid w:val="0"/>
          <w:sz w:val="28"/>
          <w:szCs w:val="28"/>
        </w:rPr>
        <w:t xml:space="preserve"> в отношении главных администраторов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в отчетном финансовом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а также отсутствие нарушений,</w:t>
      </w:r>
      <w:r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выявленных по результатам проведения аудиторских мероприятий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D64F5" w:rsidRPr="005E086D" w:rsidRDefault="005E086D" w:rsidP="00AC479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E08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Оценка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управления активами</w:t>
      </w:r>
    </w:p>
    <w:p w:rsidR="008C58ED" w:rsidRDefault="008C58E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качества финансового менеджмента по направлению «Управление активами» составила </w:t>
      </w:r>
      <w:r w:rsidR="00CE2A6D">
        <w:rPr>
          <w:rFonts w:ascii="Times New Roman" w:hAnsi="Times New Roman" w:cs="Times New Roman"/>
          <w:snapToGrid w:val="0"/>
          <w:sz w:val="28"/>
          <w:szCs w:val="28"/>
        </w:rPr>
        <w:t>90,0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CE2A6D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 максимальное – 100,0 баллов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 (УГОЧС, УАЗ, Дорожник, ККиС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D76433" w:rsidRPr="00D764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КУМИ,</w:t>
      </w:r>
      <w:r w:rsidR="00D76433" w:rsidRPr="00D764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финансовое управление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 минимальное – 75,0 баллов (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СНД, администрация ГКМХ,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 управление образования, 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 6%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8C58ED" w:rsidRDefault="008C58ED" w:rsidP="008C5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активами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следует отнести: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отсутствие н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 w:rsidR="00D36F2D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проведении контрольных мероприятий 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t>Счетной палат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C58ED" w:rsidRDefault="00020822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 показателю «Н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napToGrid w:val="0"/>
          <w:sz w:val="28"/>
          <w:szCs w:val="28"/>
        </w:rPr>
        <w:t>все главные администраторы средств городского бюджета получили максимальную оценку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 100,0 баллов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п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перед составлением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отчетности за отчетный финансовый год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20822" w:rsidRDefault="00020822" w:rsidP="00020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«П</w:t>
      </w:r>
      <w:r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) отсутствие фактов выявления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при проведении инвентаризации недостач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и хищений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в отчетном периоде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20822" w:rsidRDefault="00020822" w:rsidP="00020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«Объем недостач, выявленных при проведении инвентаризации в отчетном периоде» все главные администраторы средств городского бюджета получили максимальную оценку 100,0 баллов;</w:t>
      </w:r>
    </w:p>
    <w:p w:rsidR="00020822" w:rsidRDefault="00CE2A6D" w:rsidP="00CE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Фактором, </w:t>
      </w:r>
      <w:r w:rsidRPr="0002082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активами в отчетном году, является значительн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ый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прирост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объема </w:t>
      </w:r>
      <w:r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материальных запасов </w:t>
      </w:r>
      <w:r>
        <w:rPr>
          <w:rFonts w:ascii="Times New Roman" w:hAnsi="Times New Roman" w:cs="Times New Roman"/>
          <w:snapToGrid w:val="0"/>
          <w:sz w:val="28"/>
          <w:szCs w:val="28"/>
        </w:rPr>
        <w:t>в стоимостном выражении на конец отчетного года относительно предыдущего года – темп роста стоимости материальных запасов превышает индекс инфляции 202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года.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По данным Владимирс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>тата индекс инфляции (индекс потребительских цен) в декабре 202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 xml:space="preserve"> к декабрю 2022 года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 составил </w:t>
      </w:r>
      <w:r w:rsidR="00D76433">
        <w:rPr>
          <w:rFonts w:ascii="Times New Roman" w:hAnsi="Times New Roman" w:cs="Times New Roman"/>
          <w:snapToGrid w:val="0"/>
          <w:sz w:val="28"/>
          <w:szCs w:val="28"/>
        </w:rPr>
        <w:t>7,86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%. </w:t>
      </w:r>
      <w:r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Негативной стороной 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увеличения материальных </w:t>
      </w:r>
      <w:r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запасов является то, что в них </w:t>
      </w:r>
      <w:r w:rsidRPr="00DF69E4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замораживаются значительные финансовые ресурсы и объемы товарно-материальных ценностей, которые могли бы быть использованы на другие цели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E2A6D" w:rsidRDefault="00CE2A6D" w:rsidP="00CE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«Качество управления материальными запасами» –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0,0 баллов (отклонение от целевого значения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25</w:t>
      </w:r>
      <w:r>
        <w:rPr>
          <w:rFonts w:ascii="Times New Roman" w:hAnsi="Times New Roman" w:cs="Times New Roman"/>
          <w:snapToGrid w:val="0"/>
          <w:sz w:val="28"/>
          <w:szCs w:val="28"/>
        </w:rPr>
        <w:t>%), максимальная – 100,0 баллов</w:t>
      </w:r>
      <w:r w:rsidR="00B21A33">
        <w:rPr>
          <w:rFonts w:ascii="Times New Roman" w:hAnsi="Times New Roman" w:cs="Times New Roman"/>
          <w:snapToGrid w:val="0"/>
          <w:sz w:val="28"/>
          <w:szCs w:val="28"/>
        </w:rPr>
        <w:t xml:space="preserve"> (УГОЧС, УАЗ, Дорожник, ККиС</w:t>
      </w:r>
      <w:r w:rsidR="002C3405">
        <w:rPr>
          <w:rFonts w:ascii="Times New Roman" w:hAnsi="Times New Roman" w:cs="Times New Roman"/>
          <w:snapToGrid w:val="0"/>
          <w:sz w:val="28"/>
          <w:szCs w:val="28"/>
        </w:rPr>
        <w:t>, КУМИ, финансовое управление</w:t>
      </w:r>
      <w:r w:rsidR="00B21A33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, минимальная – 0,0 баллов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2C3405">
        <w:rPr>
          <w:rFonts w:ascii="Times New Roman" w:hAnsi="Times New Roman" w:cs="Times New Roman"/>
          <w:snapToGrid w:val="0"/>
          <w:sz w:val="28"/>
          <w:szCs w:val="28"/>
        </w:rPr>
        <w:t>СНД – прирост материальных запасов за отчетный год составил 221%, ГКМХ – аналогичный показатель 69%, управление образования –13%, администрация – 9%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CE2A6D" w:rsidRPr="008C58ED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6F07" w:rsidRDefault="002F648A" w:rsidP="00586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="003232A2">
        <w:rPr>
          <w:rFonts w:ascii="Times New Roman" w:hAnsi="Times New Roman" w:cs="Times New Roman"/>
          <w:b/>
          <w:sz w:val="28"/>
          <w:szCs w:val="28"/>
        </w:rPr>
        <w:t>уровня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586F07" w:rsidRPr="00B42A1B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менеджмента, осуществляемого главными администраторами</w:t>
      </w:r>
      <w:r w:rsidR="00B42A1B" w:rsidRPr="00B42A1B">
        <w:rPr>
          <w:rFonts w:ascii="Times New Roman" w:hAnsi="Times New Roman" w:cs="Times New Roman"/>
          <w:b/>
          <w:sz w:val="28"/>
          <w:szCs w:val="28"/>
        </w:rPr>
        <w:t xml:space="preserve"> средств городского бюджета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092993">
        <w:rPr>
          <w:rFonts w:ascii="Times New Roman" w:hAnsi="Times New Roman" w:cs="Times New Roman"/>
          <w:sz w:val="28"/>
          <w:szCs w:val="28"/>
        </w:rPr>
        <w:t>94,3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балл</w:t>
      </w:r>
      <w:r w:rsidR="006C671E">
        <w:rPr>
          <w:rFonts w:ascii="Times New Roman" w:hAnsi="Times New Roman" w:cs="Times New Roman"/>
          <w:sz w:val="28"/>
          <w:szCs w:val="28"/>
        </w:rPr>
        <w:t>а</w:t>
      </w:r>
      <w:r w:rsidR="00B42A1B" w:rsidRPr="00B42A1B">
        <w:rPr>
          <w:rFonts w:ascii="Times New Roman" w:hAnsi="Times New Roman" w:cs="Times New Roman"/>
          <w:sz w:val="28"/>
          <w:szCs w:val="28"/>
        </w:rPr>
        <w:t>, максимальн</w:t>
      </w:r>
      <w:r w:rsidR="00CF0842">
        <w:rPr>
          <w:rFonts w:ascii="Times New Roman" w:hAnsi="Times New Roman" w:cs="Times New Roman"/>
          <w:sz w:val="28"/>
          <w:szCs w:val="28"/>
        </w:rPr>
        <w:t>ая оценка качества управления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</w:t>
      </w:r>
      <w:r w:rsidR="00092993">
        <w:rPr>
          <w:rFonts w:ascii="Times New Roman" w:hAnsi="Times New Roman" w:cs="Times New Roman"/>
          <w:sz w:val="28"/>
          <w:szCs w:val="28"/>
        </w:rPr>
        <w:t>99,2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8B63C4">
        <w:rPr>
          <w:rFonts w:ascii="Times New Roman" w:hAnsi="Times New Roman" w:cs="Times New Roman"/>
          <w:sz w:val="28"/>
          <w:szCs w:val="28"/>
        </w:rPr>
        <w:t>балла (ККиС)</w:t>
      </w:r>
      <w:r w:rsidR="00B42A1B" w:rsidRPr="00B42A1B">
        <w:rPr>
          <w:rFonts w:ascii="Times New Roman" w:hAnsi="Times New Roman" w:cs="Times New Roman"/>
          <w:sz w:val="28"/>
          <w:szCs w:val="28"/>
        </w:rPr>
        <w:t>, минимальн</w:t>
      </w:r>
      <w:r w:rsidR="00CF0842">
        <w:rPr>
          <w:rFonts w:ascii="Times New Roman" w:hAnsi="Times New Roman" w:cs="Times New Roman"/>
          <w:sz w:val="28"/>
          <w:szCs w:val="28"/>
        </w:rPr>
        <w:t>ая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</w:t>
      </w:r>
      <w:r w:rsidR="00092993">
        <w:rPr>
          <w:rFonts w:ascii="Times New Roman" w:hAnsi="Times New Roman" w:cs="Times New Roman"/>
          <w:sz w:val="28"/>
          <w:szCs w:val="28"/>
        </w:rPr>
        <w:t>90,2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B63C4">
        <w:rPr>
          <w:rFonts w:ascii="Times New Roman" w:hAnsi="Times New Roman" w:cs="Times New Roman"/>
          <w:sz w:val="28"/>
          <w:szCs w:val="28"/>
        </w:rPr>
        <w:t xml:space="preserve"> (КУМИ)</w:t>
      </w:r>
      <w:r w:rsidR="00A0122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42A1B" w:rsidRDefault="000B22B6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По результатам мониторинга качества финансового менеджмента по состоянию на </w:t>
      </w:r>
      <w:r w:rsidR="008B63C4">
        <w:rPr>
          <w:rFonts w:ascii="Times New Roman" w:hAnsi="Times New Roman" w:cs="Times New Roman"/>
          <w:sz w:val="28"/>
          <w:szCs w:val="28"/>
        </w:rPr>
        <w:t>01.01.202</w:t>
      </w:r>
      <w:r w:rsidR="00092993">
        <w:rPr>
          <w:rFonts w:ascii="Times New Roman" w:hAnsi="Times New Roman" w:cs="Times New Roman"/>
          <w:sz w:val="28"/>
          <w:szCs w:val="28"/>
        </w:rPr>
        <w:t>4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>выстроен рейтинг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3232A2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B42A1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AA61FE" w:rsidRPr="00B42A1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B42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993" w:rsidRDefault="00092993" w:rsidP="0009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администраторы средств городского бюджета по своим показателям отнесены к</w:t>
      </w:r>
      <w:r w:rsidR="00B42A1B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B42A1B" w:rsidRPr="00B42A1B">
        <w:rPr>
          <w:rFonts w:ascii="Times New Roman" w:hAnsi="Times New Roman" w:cs="Times New Roman"/>
          <w:sz w:val="28"/>
          <w:szCs w:val="28"/>
        </w:rPr>
        <w:t>Высокое качество финансового менеджмента» с диапазоном значений итоговых оценок качества финансового менеджмента от 90,1 до 100,0 баллов</w:t>
      </w:r>
      <w:r w:rsidR="00B42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3C4" w:rsidRDefault="00092993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</w:t>
      </w:r>
      <w:r w:rsidRPr="00092993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администраторов средств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20465A">
        <w:rPr>
          <w:rFonts w:ascii="Times New Roman" w:hAnsi="Times New Roman" w:cs="Times New Roman"/>
          <w:sz w:val="28"/>
          <w:szCs w:val="28"/>
        </w:rPr>
        <w:t>в Таблице 1.</w:t>
      </w:r>
    </w:p>
    <w:p w:rsidR="0020465A" w:rsidRPr="0020465A" w:rsidRDefault="0020465A" w:rsidP="0020465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465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1940"/>
        <w:gridCol w:w="1880"/>
      </w:tblGrid>
      <w:tr w:rsidR="00092993" w:rsidRPr="00092993" w:rsidTr="00493ECD">
        <w:trPr>
          <w:trHeight w:val="1519"/>
          <w:tblHeader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средств городского 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80017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качества финансового менеджмента, баллы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Рейтинговая оценка</w:t>
            </w:r>
          </w:p>
        </w:tc>
      </w:tr>
      <w:tr w:rsidR="00092993" w:rsidRPr="00092993" w:rsidTr="00493ECD">
        <w:trPr>
          <w:trHeight w:val="988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«Комитет по культуре и спорту»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 Владимирской области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993" w:rsidRPr="00092993" w:rsidTr="00493ECD">
        <w:trPr>
          <w:trHeight w:val="844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управление администрации закрытого административно-территориального образования город Радужный Владимирской области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993" w:rsidRPr="00092993" w:rsidTr="00493ECD">
        <w:trPr>
          <w:trHeight w:val="870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«Управление административными зданиями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2993" w:rsidRPr="00092993" w:rsidTr="00493ECD">
        <w:trPr>
          <w:trHeight w:val="882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Радужный Владимирской области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993" w:rsidRPr="00092993" w:rsidTr="00493ECD">
        <w:trPr>
          <w:trHeight w:val="894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ситуациям»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адужный Владимирской области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2993" w:rsidRPr="00092993" w:rsidTr="0020465A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народных депутатов закрытого административно-территориального образования 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 Радужный Владимирской области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2993" w:rsidRPr="00092993" w:rsidTr="00493ECD">
        <w:trPr>
          <w:trHeight w:val="1006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казённое учреждение «Городской комитет муниципального хозяйства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92993" w:rsidRPr="00092993" w:rsidTr="00493ECD">
        <w:trPr>
          <w:trHeight w:val="734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2993" w:rsidRPr="00092993" w:rsidTr="00493ECD">
        <w:trPr>
          <w:trHeight w:val="742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2993" w:rsidRPr="00092993" w:rsidTr="00092993">
        <w:trPr>
          <w:trHeight w:val="480"/>
        </w:trPr>
        <w:tc>
          <w:tcPr>
            <w:tcW w:w="5827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r w:rsidR="004345D3"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09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9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92993" w:rsidRPr="00092993" w:rsidRDefault="00092993" w:rsidP="0009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:rsidR="00092993" w:rsidRDefault="00092993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2B6" w:rsidRPr="00EB518F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Распределение итоговых оценок качества финансового менеджмента главных администраторов в увязке с целевым </w:t>
      </w:r>
      <w:r w:rsidR="00805FBB" w:rsidRPr="00A01226">
        <w:rPr>
          <w:rFonts w:ascii="Times New Roman" w:hAnsi="Times New Roman" w:cs="Times New Roman"/>
          <w:sz w:val="28"/>
          <w:szCs w:val="28"/>
        </w:rPr>
        <w:t xml:space="preserve">и средним значением </w:t>
      </w:r>
      <w:r w:rsidRPr="00A01226">
        <w:rPr>
          <w:rFonts w:ascii="Times New Roman" w:hAnsi="Times New Roman" w:cs="Times New Roman"/>
          <w:sz w:val="28"/>
          <w:szCs w:val="28"/>
        </w:rPr>
        <w:t xml:space="preserve">итоговой оценки качества финансового менеджмента представлено на </w:t>
      </w:r>
      <w:r w:rsidR="00493ECD">
        <w:rPr>
          <w:rFonts w:ascii="Times New Roman" w:hAnsi="Times New Roman" w:cs="Times New Roman"/>
          <w:sz w:val="28"/>
          <w:szCs w:val="28"/>
        </w:rPr>
        <w:t>Р</w:t>
      </w:r>
      <w:r w:rsidRPr="00A01226">
        <w:rPr>
          <w:rFonts w:ascii="Times New Roman" w:hAnsi="Times New Roman" w:cs="Times New Roman"/>
          <w:sz w:val="28"/>
          <w:szCs w:val="28"/>
        </w:rPr>
        <w:t>исунке 1.</w:t>
      </w:r>
    </w:p>
    <w:p w:rsidR="00CF0842" w:rsidRPr="00CF0842" w:rsidRDefault="00092993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9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8725" cy="38004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57877" cy="4143375"/>
                      <a:chOff x="0" y="0"/>
                      <a:chExt cx="5857877" cy="4143375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0" y="0"/>
                        <a:ext cx="5857877" cy="4143375"/>
                        <a:chOff x="0" y="0"/>
                        <a:chExt cx="5857877" cy="4143375"/>
                      </a:xfrm>
                    </a:grpSpPr>
                    <a:graphicFrame>
                      <a:nvGraphicFramePr>
                        <a:cNvPr id="10" name="Диаграмма 9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8"/>
                        </a:graphicData>
                      </a:graphic>
                      <a:xfrm>
                        <a:off x="0" y="0"/>
                        <a:ext cx="5600701" cy="4143375"/>
                      </a:xfrm>
                    </a:graphicFrame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61977" y="2847975"/>
                          <a:ext cx="5295900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             701          70</a:t>
                            </a:r>
                            <a:r>
                              <a:rPr lang="en-US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2</a:t>
                            </a:r>
                            <a:r>
                              <a:rPr lang="ru-RU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         720          733          734          735         750          767          770          792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96022" w:rsidRPr="00A01226" w:rsidRDefault="00496022" w:rsidP="0049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Рисунок 1</w:t>
      </w:r>
    </w:p>
    <w:p w:rsidR="00496022" w:rsidRPr="00EB518F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BC" w:rsidRPr="00EB518F" w:rsidRDefault="00C01EBC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496022" w:rsidRPr="00A01226" w:rsidSect="00EC534C">
      <w:footerReference w:type="default" r:id="rId9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CE" w:rsidRDefault="008116CE" w:rsidP="00EC534C">
      <w:pPr>
        <w:spacing w:after="0" w:line="240" w:lineRule="auto"/>
      </w:pPr>
      <w:r>
        <w:separator/>
      </w:r>
    </w:p>
  </w:endnote>
  <w:endnote w:type="continuationSeparator" w:id="0">
    <w:p w:rsidR="008116CE" w:rsidRDefault="008116CE" w:rsidP="00EC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78172"/>
      <w:docPartObj>
        <w:docPartGallery w:val="Page Numbers (Bottom of Page)"/>
        <w:docPartUnique/>
      </w:docPartObj>
    </w:sdtPr>
    <w:sdtContent>
      <w:p w:rsidR="00593F17" w:rsidRDefault="00606E43">
        <w:pPr>
          <w:pStyle w:val="a9"/>
          <w:jc w:val="center"/>
        </w:pPr>
        <w:r w:rsidRPr="00EC534C">
          <w:rPr>
            <w:rFonts w:ascii="Times New Roman" w:hAnsi="Times New Roman" w:cs="Times New Roman"/>
          </w:rPr>
          <w:fldChar w:fldCharType="begin"/>
        </w:r>
        <w:r w:rsidR="00593F17" w:rsidRPr="00EC534C">
          <w:rPr>
            <w:rFonts w:ascii="Times New Roman" w:hAnsi="Times New Roman" w:cs="Times New Roman"/>
          </w:rPr>
          <w:instrText xml:space="preserve"> PAGE   \* MERGEFORMAT </w:instrText>
        </w:r>
        <w:r w:rsidRPr="00EC534C">
          <w:rPr>
            <w:rFonts w:ascii="Times New Roman" w:hAnsi="Times New Roman" w:cs="Times New Roman"/>
          </w:rPr>
          <w:fldChar w:fldCharType="separate"/>
        </w:r>
        <w:r w:rsidR="00D60A3D">
          <w:rPr>
            <w:rFonts w:ascii="Times New Roman" w:hAnsi="Times New Roman" w:cs="Times New Roman"/>
            <w:noProof/>
          </w:rPr>
          <w:t>3</w:t>
        </w:r>
        <w:r w:rsidRPr="00EC534C">
          <w:rPr>
            <w:rFonts w:ascii="Times New Roman" w:hAnsi="Times New Roman" w:cs="Times New Roman"/>
          </w:rPr>
          <w:fldChar w:fldCharType="end"/>
        </w:r>
      </w:p>
    </w:sdtContent>
  </w:sdt>
  <w:p w:rsidR="00593F17" w:rsidRDefault="00593F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CE" w:rsidRDefault="008116CE" w:rsidP="00EC534C">
      <w:pPr>
        <w:spacing w:after="0" w:line="240" w:lineRule="auto"/>
      </w:pPr>
      <w:r>
        <w:separator/>
      </w:r>
    </w:p>
  </w:footnote>
  <w:footnote w:type="continuationSeparator" w:id="0">
    <w:p w:rsidR="008116CE" w:rsidRDefault="008116CE" w:rsidP="00EC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ABA"/>
    <w:multiLevelType w:val="hybridMultilevel"/>
    <w:tmpl w:val="F1004DE2"/>
    <w:lvl w:ilvl="0" w:tplc="B882C8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C77"/>
    <w:multiLevelType w:val="hybridMultilevel"/>
    <w:tmpl w:val="26AE4D32"/>
    <w:lvl w:ilvl="0" w:tplc="E98C6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5E5"/>
    <w:rsid w:val="00003011"/>
    <w:rsid w:val="00003378"/>
    <w:rsid w:val="000126FE"/>
    <w:rsid w:val="00014BBE"/>
    <w:rsid w:val="00020822"/>
    <w:rsid w:val="00026625"/>
    <w:rsid w:val="00041AEE"/>
    <w:rsid w:val="00042B4E"/>
    <w:rsid w:val="00051E58"/>
    <w:rsid w:val="0006458D"/>
    <w:rsid w:val="00074230"/>
    <w:rsid w:val="00074F62"/>
    <w:rsid w:val="00075D9C"/>
    <w:rsid w:val="00080017"/>
    <w:rsid w:val="00092993"/>
    <w:rsid w:val="000A0546"/>
    <w:rsid w:val="000B22B6"/>
    <w:rsid w:val="000B45C3"/>
    <w:rsid w:val="000D40BE"/>
    <w:rsid w:val="000E0938"/>
    <w:rsid w:val="000F4583"/>
    <w:rsid w:val="000F7D61"/>
    <w:rsid w:val="0010215E"/>
    <w:rsid w:val="001120FC"/>
    <w:rsid w:val="0013111E"/>
    <w:rsid w:val="0013270A"/>
    <w:rsid w:val="001418A1"/>
    <w:rsid w:val="001455EF"/>
    <w:rsid w:val="00146915"/>
    <w:rsid w:val="00150F23"/>
    <w:rsid w:val="00156466"/>
    <w:rsid w:val="00156D5A"/>
    <w:rsid w:val="00167512"/>
    <w:rsid w:val="00171B2C"/>
    <w:rsid w:val="001954D3"/>
    <w:rsid w:val="001E094C"/>
    <w:rsid w:val="001E0CAD"/>
    <w:rsid w:val="001E221E"/>
    <w:rsid w:val="001F03F2"/>
    <w:rsid w:val="001F217B"/>
    <w:rsid w:val="0020465A"/>
    <w:rsid w:val="00214FFF"/>
    <w:rsid w:val="00220CDB"/>
    <w:rsid w:val="00224FDC"/>
    <w:rsid w:val="00225777"/>
    <w:rsid w:val="00233439"/>
    <w:rsid w:val="00233F50"/>
    <w:rsid w:val="002373C0"/>
    <w:rsid w:val="002429D9"/>
    <w:rsid w:val="002569F9"/>
    <w:rsid w:val="0026288F"/>
    <w:rsid w:val="00272E40"/>
    <w:rsid w:val="00281CFD"/>
    <w:rsid w:val="00290D76"/>
    <w:rsid w:val="00292760"/>
    <w:rsid w:val="002A6310"/>
    <w:rsid w:val="002B5506"/>
    <w:rsid w:val="002C3405"/>
    <w:rsid w:val="002C77C3"/>
    <w:rsid w:val="002D08AC"/>
    <w:rsid w:val="002D73BB"/>
    <w:rsid w:val="002E2D0C"/>
    <w:rsid w:val="002F1C56"/>
    <w:rsid w:val="002F6230"/>
    <w:rsid w:val="002F648A"/>
    <w:rsid w:val="003109CB"/>
    <w:rsid w:val="003172BF"/>
    <w:rsid w:val="003232A2"/>
    <w:rsid w:val="00324AF6"/>
    <w:rsid w:val="00333F36"/>
    <w:rsid w:val="00334324"/>
    <w:rsid w:val="0034530B"/>
    <w:rsid w:val="003465AE"/>
    <w:rsid w:val="00352543"/>
    <w:rsid w:val="00363A6A"/>
    <w:rsid w:val="00374844"/>
    <w:rsid w:val="0038170C"/>
    <w:rsid w:val="00386617"/>
    <w:rsid w:val="003912E2"/>
    <w:rsid w:val="003B087D"/>
    <w:rsid w:val="003B3CA6"/>
    <w:rsid w:val="003B74C6"/>
    <w:rsid w:val="003C1368"/>
    <w:rsid w:val="003D46C9"/>
    <w:rsid w:val="003E15E5"/>
    <w:rsid w:val="003E1B71"/>
    <w:rsid w:val="003E1C5C"/>
    <w:rsid w:val="003E411F"/>
    <w:rsid w:val="003E61E9"/>
    <w:rsid w:val="00422CC7"/>
    <w:rsid w:val="00424A8D"/>
    <w:rsid w:val="00427DAE"/>
    <w:rsid w:val="004345D3"/>
    <w:rsid w:val="004360D8"/>
    <w:rsid w:val="00450758"/>
    <w:rsid w:val="00460CA3"/>
    <w:rsid w:val="0046234C"/>
    <w:rsid w:val="004627BE"/>
    <w:rsid w:val="004710E7"/>
    <w:rsid w:val="00472888"/>
    <w:rsid w:val="00487ADF"/>
    <w:rsid w:val="00491279"/>
    <w:rsid w:val="00491A5D"/>
    <w:rsid w:val="00493ECD"/>
    <w:rsid w:val="0049436D"/>
    <w:rsid w:val="00496022"/>
    <w:rsid w:val="004A112E"/>
    <w:rsid w:val="004A3883"/>
    <w:rsid w:val="004E3591"/>
    <w:rsid w:val="004F0106"/>
    <w:rsid w:val="0051580F"/>
    <w:rsid w:val="0052245F"/>
    <w:rsid w:val="005378C5"/>
    <w:rsid w:val="00571F2C"/>
    <w:rsid w:val="00586F07"/>
    <w:rsid w:val="00593F17"/>
    <w:rsid w:val="005943B2"/>
    <w:rsid w:val="00596939"/>
    <w:rsid w:val="00596A3F"/>
    <w:rsid w:val="005A17A0"/>
    <w:rsid w:val="005B38BF"/>
    <w:rsid w:val="005B62E3"/>
    <w:rsid w:val="005C47AC"/>
    <w:rsid w:val="005C599D"/>
    <w:rsid w:val="005D30F8"/>
    <w:rsid w:val="005E086D"/>
    <w:rsid w:val="005E32EE"/>
    <w:rsid w:val="005F5103"/>
    <w:rsid w:val="00602E70"/>
    <w:rsid w:val="00604F70"/>
    <w:rsid w:val="00606E43"/>
    <w:rsid w:val="0061209B"/>
    <w:rsid w:val="006231CA"/>
    <w:rsid w:val="0062331A"/>
    <w:rsid w:val="00642014"/>
    <w:rsid w:val="00654FA0"/>
    <w:rsid w:val="006622E3"/>
    <w:rsid w:val="00663718"/>
    <w:rsid w:val="006674F6"/>
    <w:rsid w:val="00671701"/>
    <w:rsid w:val="006810BE"/>
    <w:rsid w:val="006848B1"/>
    <w:rsid w:val="006963DF"/>
    <w:rsid w:val="006A4ED3"/>
    <w:rsid w:val="006A5A34"/>
    <w:rsid w:val="006B60A1"/>
    <w:rsid w:val="006B7F73"/>
    <w:rsid w:val="006C671E"/>
    <w:rsid w:val="006D0804"/>
    <w:rsid w:val="006D29C2"/>
    <w:rsid w:val="006D64F5"/>
    <w:rsid w:val="006E0D9F"/>
    <w:rsid w:val="006E1C79"/>
    <w:rsid w:val="00727882"/>
    <w:rsid w:val="00727A7E"/>
    <w:rsid w:val="00755B60"/>
    <w:rsid w:val="007746C9"/>
    <w:rsid w:val="00782489"/>
    <w:rsid w:val="007900D5"/>
    <w:rsid w:val="00792821"/>
    <w:rsid w:val="007B3759"/>
    <w:rsid w:val="007B4C76"/>
    <w:rsid w:val="007B4C81"/>
    <w:rsid w:val="007C72F3"/>
    <w:rsid w:val="007E3AE4"/>
    <w:rsid w:val="007F05D3"/>
    <w:rsid w:val="007F25A5"/>
    <w:rsid w:val="00805FBB"/>
    <w:rsid w:val="008116CE"/>
    <w:rsid w:val="00816DD0"/>
    <w:rsid w:val="00832E32"/>
    <w:rsid w:val="00857436"/>
    <w:rsid w:val="008902F4"/>
    <w:rsid w:val="00892BD8"/>
    <w:rsid w:val="00894848"/>
    <w:rsid w:val="00897BA8"/>
    <w:rsid w:val="008A2E0B"/>
    <w:rsid w:val="008B63C4"/>
    <w:rsid w:val="008C58ED"/>
    <w:rsid w:val="008D6E84"/>
    <w:rsid w:val="008E4CB6"/>
    <w:rsid w:val="008E5181"/>
    <w:rsid w:val="008F0434"/>
    <w:rsid w:val="008F7178"/>
    <w:rsid w:val="00903FF3"/>
    <w:rsid w:val="009128BD"/>
    <w:rsid w:val="009228EC"/>
    <w:rsid w:val="00943A5C"/>
    <w:rsid w:val="009456E4"/>
    <w:rsid w:val="00957D26"/>
    <w:rsid w:val="009611BC"/>
    <w:rsid w:val="00964E1E"/>
    <w:rsid w:val="00993AD1"/>
    <w:rsid w:val="009957E0"/>
    <w:rsid w:val="009A5FEF"/>
    <w:rsid w:val="009B14F4"/>
    <w:rsid w:val="009E131F"/>
    <w:rsid w:val="009E3181"/>
    <w:rsid w:val="009E6887"/>
    <w:rsid w:val="009F4954"/>
    <w:rsid w:val="00A01226"/>
    <w:rsid w:val="00A32067"/>
    <w:rsid w:val="00A33C8F"/>
    <w:rsid w:val="00A406F4"/>
    <w:rsid w:val="00A43BDC"/>
    <w:rsid w:val="00A44173"/>
    <w:rsid w:val="00A45F70"/>
    <w:rsid w:val="00A52F7C"/>
    <w:rsid w:val="00A62BAC"/>
    <w:rsid w:val="00A72969"/>
    <w:rsid w:val="00A74D0E"/>
    <w:rsid w:val="00A877B1"/>
    <w:rsid w:val="00A906E9"/>
    <w:rsid w:val="00AA61FE"/>
    <w:rsid w:val="00AC0851"/>
    <w:rsid w:val="00AC127A"/>
    <w:rsid w:val="00AC4798"/>
    <w:rsid w:val="00AC499F"/>
    <w:rsid w:val="00AE3AC4"/>
    <w:rsid w:val="00AE6F57"/>
    <w:rsid w:val="00AF2EFD"/>
    <w:rsid w:val="00B01A28"/>
    <w:rsid w:val="00B02A79"/>
    <w:rsid w:val="00B07420"/>
    <w:rsid w:val="00B07E8B"/>
    <w:rsid w:val="00B1053F"/>
    <w:rsid w:val="00B116F3"/>
    <w:rsid w:val="00B21A33"/>
    <w:rsid w:val="00B42A1B"/>
    <w:rsid w:val="00B83F09"/>
    <w:rsid w:val="00B85110"/>
    <w:rsid w:val="00B87E65"/>
    <w:rsid w:val="00B90004"/>
    <w:rsid w:val="00B905AD"/>
    <w:rsid w:val="00B95117"/>
    <w:rsid w:val="00BB5B91"/>
    <w:rsid w:val="00BB6B32"/>
    <w:rsid w:val="00BC1146"/>
    <w:rsid w:val="00BC16EB"/>
    <w:rsid w:val="00BF347F"/>
    <w:rsid w:val="00BF3AE5"/>
    <w:rsid w:val="00BF505E"/>
    <w:rsid w:val="00C01EBC"/>
    <w:rsid w:val="00C151D7"/>
    <w:rsid w:val="00C32677"/>
    <w:rsid w:val="00C37160"/>
    <w:rsid w:val="00C52C7C"/>
    <w:rsid w:val="00C64C1D"/>
    <w:rsid w:val="00C67478"/>
    <w:rsid w:val="00C82048"/>
    <w:rsid w:val="00C82BC8"/>
    <w:rsid w:val="00C9738B"/>
    <w:rsid w:val="00CA099D"/>
    <w:rsid w:val="00CA48B2"/>
    <w:rsid w:val="00CB05C0"/>
    <w:rsid w:val="00CC76D0"/>
    <w:rsid w:val="00CD19E1"/>
    <w:rsid w:val="00CD58DB"/>
    <w:rsid w:val="00CE2A6D"/>
    <w:rsid w:val="00CF0842"/>
    <w:rsid w:val="00CF4475"/>
    <w:rsid w:val="00D04BAF"/>
    <w:rsid w:val="00D053FF"/>
    <w:rsid w:val="00D12DAE"/>
    <w:rsid w:val="00D165BA"/>
    <w:rsid w:val="00D31E47"/>
    <w:rsid w:val="00D36F2D"/>
    <w:rsid w:val="00D424DD"/>
    <w:rsid w:val="00D42DF9"/>
    <w:rsid w:val="00D5299B"/>
    <w:rsid w:val="00D568E7"/>
    <w:rsid w:val="00D60A3D"/>
    <w:rsid w:val="00D615A2"/>
    <w:rsid w:val="00D6571B"/>
    <w:rsid w:val="00D66EA4"/>
    <w:rsid w:val="00D70D47"/>
    <w:rsid w:val="00D71A97"/>
    <w:rsid w:val="00D73368"/>
    <w:rsid w:val="00D763C6"/>
    <w:rsid w:val="00D76433"/>
    <w:rsid w:val="00D82A4F"/>
    <w:rsid w:val="00D969C1"/>
    <w:rsid w:val="00D979DD"/>
    <w:rsid w:val="00DA3842"/>
    <w:rsid w:val="00DA609A"/>
    <w:rsid w:val="00DC355C"/>
    <w:rsid w:val="00DC6006"/>
    <w:rsid w:val="00DC7976"/>
    <w:rsid w:val="00DF69E4"/>
    <w:rsid w:val="00E031D7"/>
    <w:rsid w:val="00E06379"/>
    <w:rsid w:val="00E12217"/>
    <w:rsid w:val="00E164C7"/>
    <w:rsid w:val="00E30E29"/>
    <w:rsid w:val="00E3189F"/>
    <w:rsid w:val="00E533B8"/>
    <w:rsid w:val="00E56686"/>
    <w:rsid w:val="00E601A9"/>
    <w:rsid w:val="00E72EA7"/>
    <w:rsid w:val="00E7587E"/>
    <w:rsid w:val="00E77F4E"/>
    <w:rsid w:val="00E83E37"/>
    <w:rsid w:val="00E9155E"/>
    <w:rsid w:val="00E93EB1"/>
    <w:rsid w:val="00E96D33"/>
    <w:rsid w:val="00EA1C2D"/>
    <w:rsid w:val="00EA2D8E"/>
    <w:rsid w:val="00EB1127"/>
    <w:rsid w:val="00EB518F"/>
    <w:rsid w:val="00EB6134"/>
    <w:rsid w:val="00EC21D6"/>
    <w:rsid w:val="00EC534C"/>
    <w:rsid w:val="00EC5B4C"/>
    <w:rsid w:val="00ED19CB"/>
    <w:rsid w:val="00ED3326"/>
    <w:rsid w:val="00EE0CB9"/>
    <w:rsid w:val="00EF0118"/>
    <w:rsid w:val="00F10892"/>
    <w:rsid w:val="00F10C90"/>
    <w:rsid w:val="00F12626"/>
    <w:rsid w:val="00F13080"/>
    <w:rsid w:val="00F35CBD"/>
    <w:rsid w:val="00F35DEB"/>
    <w:rsid w:val="00F86289"/>
    <w:rsid w:val="00FC1290"/>
    <w:rsid w:val="00FC1F3F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7"/>
  </w:style>
  <w:style w:type="paragraph" w:styleId="1">
    <w:name w:val="heading 1"/>
    <w:basedOn w:val="a"/>
    <w:link w:val="10"/>
    <w:uiPriority w:val="9"/>
    <w:qFormat/>
    <w:rsid w:val="005F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49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34C"/>
  </w:style>
  <w:style w:type="paragraph" w:styleId="a9">
    <w:name w:val="footer"/>
    <w:basedOn w:val="a"/>
    <w:link w:val="aa"/>
    <w:uiPriority w:val="99"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34C"/>
  </w:style>
  <w:style w:type="character" w:customStyle="1" w:styleId="10">
    <w:name w:val="Заголовок 1 Знак"/>
    <w:basedOn w:val="a0"/>
    <w:link w:val="1"/>
    <w:uiPriority w:val="9"/>
    <w:rsid w:val="005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F130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86;&#1085;&#1080;&#1090;&#1086;&#1088;&#1080;&#1085;&#1075;%20&#1092;&#1080;&#1085;&#1072;&#1085;&#1089;&#1086;&#1074;&#1086;&#1075;&#1086;%20&#1084;&#1077;&#1085;&#1077;&#1076;&#1078;&#1084;&#1077;&#1085;&#1090;&#1072;\2023\&#1054;&#1090;&#1095;&#1077;&#1090;%20&#1085;&#1072;%2001.01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1"/>
          <c:order val="1"/>
          <c:tx>
            <c:strRef>
              <c:f>Диаграмма!$E$5</c:f>
              <c:strCache>
                <c:ptCount val="1"/>
                <c:pt idx="0">
                  <c:v>Целевое значение итоговой оценки качества финансового менеджмента </c:v>
                </c:pt>
              </c:strCache>
            </c:strRef>
          </c:tx>
          <c:spPr>
            <a:ln w="28575"/>
          </c:spPr>
          <c:marker>
            <c:symbol val="none"/>
          </c:marker>
          <c:yVal>
            <c:numRef>
              <c:f>Диаграмма!$G$8:$G$17</c:f>
              <c:numCache>
                <c:formatCode>0</c:formatCode>
                <c:ptCount val="10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  <c:pt idx="9">
                  <c:v>80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Диаграмма!$E$6</c:f>
              <c:strCache>
                <c:ptCount val="1"/>
                <c:pt idx="0">
                  <c:v>Средняя оценка качества финансового менеджмента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yVal>
            <c:numRef>
              <c:f>Диаграмма!$F$8:$F$17</c:f>
              <c:numCache>
                <c:formatCode>0</c:formatCode>
                <c:ptCount val="10"/>
                <c:pt idx="0">
                  <c:v>94.269579999999991</c:v>
                </c:pt>
                <c:pt idx="1">
                  <c:v>94.269579999999991</c:v>
                </c:pt>
                <c:pt idx="2">
                  <c:v>94.269579999999991</c:v>
                </c:pt>
                <c:pt idx="3">
                  <c:v>94.269579999999991</c:v>
                </c:pt>
                <c:pt idx="4">
                  <c:v>94.269579999999991</c:v>
                </c:pt>
                <c:pt idx="5">
                  <c:v>94.269579999999991</c:v>
                </c:pt>
                <c:pt idx="6">
                  <c:v>94.269579999999991</c:v>
                </c:pt>
                <c:pt idx="7">
                  <c:v>94.269579999999991</c:v>
                </c:pt>
                <c:pt idx="8">
                  <c:v>94.269579999999991</c:v>
                </c:pt>
                <c:pt idx="9">
                  <c:v>94.269579999999991</c:v>
                </c:pt>
              </c:numCache>
            </c:numRef>
          </c:yVal>
          <c:smooth val="1"/>
        </c:ser>
        <c:axId val="143665024"/>
        <c:axId val="143666560"/>
      </c:scatterChart>
      <c:scatterChart>
        <c:scatterStyle val="lineMarker"/>
        <c:ser>
          <c:idx val="0"/>
          <c:order val="0"/>
          <c:tx>
            <c:strRef>
              <c:f>Диаграмма!$E$2</c:f>
              <c:strCache>
                <c:ptCount val="1"/>
                <c:pt idx="0">
                  <c:v>Итоговые оценки качества финансового менеджмента (высокое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pPr>
              <a:ln w="38100"/>
            </c:spPr>
          </c:marker>
          <c:xVal>
            <c:numRef>
              <c:f>Диаграмма!$H$8:$H$17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Диаграмма!$D$8:$D$17</c:f>
              <c:numCache>
                <c:formatCode>0.0</c:formatCode>
                <c:ptCount val="10"/>
                <c:pt idx="0">
                  <c:v>93.6</c:v>
                </c:pt>
                <c:pt idx="1">
                  <c:v>96.779999999999987</c:v>
                </c:pt>
                <c:pt idx="2">
                  <c:v>94.131999999999991</c:v>
                </c:pt>
                <c:pt idx="3">
                  <c:v>92.2</c:v>
                </c:pt>
                <c:pt idx="4">
                  <c:v>96.990000000000023</c:v>
                </c:pt>
                <c:pt idx="5">
                  <c:v>91.389999999999986</c:v>
                </c:pt>
                <c:pt idx="6">
                  <c:v>99.244000000000071</c:v>
                </c:pt>
                <c:pt idx="7">
                  <c:v>90.245000000000005</c:v>
                </c:pt>
                <c:pt idx="8">
                  <c:v>90.448800000000006</c:v>
                </c:pt>
                <c:pt idx="9">
                  <c:v>97.665999999999983</c:v>
                </c:pt>
              </c:numCache>
            </c:numRef>
          </c:yVal>
        </c:ser>
        <c:ser>
          <c:idx val="3"/>
          <c:order val="3"/>
          <c:tx>
            <c:strRef>
              <c:f>Диаграмма!$E$3</c:f>
              <c:strCache>
                <c:ptCount val="1"/>
                <c:pt idx="0">
                  <c:v>Итоговые оценки качества финансового менеджмента (хорошее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7"/>
          </c:marker>
          <c:xVal>
            <c:numRef>
              <c:f>Диаграмма!$H$8:$H$17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Диаграмма!$E$8:$E$17</c:f>
              <c:numCache>
                <c:formatCode>General</c:formatCode>
                <c:ptCount val="10"/>
              </c:numCache>
            </c:numRef>
          </c:yVal>
        </c:ser>
        <c:ser>
          <c:idx val="4"/>
          <c:order val="4"/>
          <c:tx>
            <c:strRef>
              <c:f>Диаграмма!$E$4</c:f>
              <c:strCache>
                <c:ptCount val="1"/>
                <c:pt idx="0">
                  <c:v>Итоговые оценки качества финансового менеджмента (удовлетворительное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7"/>
          </c:marker>
          <c:xVal>
            <c:numRef>
              <c:f>Диаграмма!$H$17</c:f>
              <c:numCache>
                <c:formatCode>General</c:formatCode>
                <c:ptCount val="1"/>
                <c:pt idx="0">
                  <c:v>10</c:v>
                </c:pt>
              </c:numCache>
            </c:numRef>
          </c:xVal>
          <c:yVal>
            <c:numRef>
              <c:f>Диаграмма!$E$17</c:f>
              <c:numCache>
                <c:formatCode>General</c:formatCode>
                <c:ptCount val="1"/>
              </c:numCache>
            </c:numRef>
          </c:yVal>
        </c:ser>
        <c:axId val="143665024"/>
        <c:axId val="143666560"/>
      </c:scatterChart>
      <c:valAx>
        <c:axId val="143665024"/>
        <c:scaling>
          <c:orientation val="minMax"/>
          <c:max val="10"/>
        </c:scaling>
        <c:axPos val="b"/>
        <c:majorGridlines/>
        <c:numFmt formatCode="General" sourceLinked="1"/>
        <c:tickLblPos val="nextTo"/>
        <c:crossAx val="143666560"/>
        <c:crosses val="autoZero"/>
        <c:crossBetween val="midCat"/>
        <c:majorUnit val="1"/>
      </c:valAx>
      <c:valAx>
        <c:axId val="143666560"/>
        <c:scaling>
          <c:orientation val="minMax"/>
          <c:max val="100"/>
          <c:min val="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0" sourceLinked="1"/>
        <c:tickLblPos val="nextTo"/>
        <c:crossAx val="143665024"/>
        <c:crosses val="autoZero"/>
        <c:crossBetween val="midCat"/>
      </c:valAx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6.8019312172085108E-2"/>
          <c:y val="0.75381011856276581"/>
          <c:w val="0.86396120659486808"/>
          <c:h val="0.24618988143723453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8FB1-CE78-412B-83F9-4A57910C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12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finupr</cp:lastModifiedBy>
  <cp:revision>36</cp:revision>
  <cp:lastPrinted>2023-06-08T05:18:00Z</cp:lastPrinted>
  <dcterms:created xsi:type="dcterms:W3CDTF">2023-06-06T08:58:00Z</dcterms:created>
  <dcterms:modified xsi:type="dcterms:W3CDTF">2024-06-11T11:13:00Z</dcterms:modified>
</cp:coreProperties>
</file>