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after="0"/>
        <w:ind w:firstLine="709"/>
        <w:jc w:val="right"/>
      </w:pPr>
      <w:r>
        <w:rPr>
          <w:rFonts w:ascii="Times New Roman" w:hAnsi="Times New Roman"/>
          <w:color w:val="000000"/>
          <w:sz w:val="26"/>
        </w:rPr>
        <w:t>Приложение № 3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 к решению Совета народных депутатов </w:t>
      </w:r>
    </w:p>
    <w:p w14:paraId="02000000">
      <w:pPr>
        <w:pStyle w:val="Style_1"/>
        <w:spacing w:after="0"/>
        <w:ind w:firstLine="709"/>
        <w:jc w:val="right"/>
      </w:pPr>
      <w:r>
        <w:rPr>
          <w:rFonts w:ascii="Times New Roman" w:hAnsi="Times New Roman"/>
          <w:color w:val="000000"/>
          <w:sz w:val="26"/>
        </w:rPr>
        <w:t>ЗАТО г. Радужный Владимирской области</w:t>
      </w:r>
    </w:p>
    <w:p w14:paraId="03000000">
      <w:pPr>
        <w:pStyle w:val="Style_1"/>
        <w:spacing w:after="0"/>
        <w:ind w:firstLine="709"/>
        <w:jc w:val="right"/>
      </w:pPr>
      <w:r>
        <w:rPr>
          <w:rFonts w:ascii="Times New Roman" w:hAnsi="Times New Roman"/>
          <w:color w:val="000000"/>
          <w:sz w:val="26"/>
          <w:u w:val="single"/>
        </w:rPr>
        <w:t>от 14.02.2022 № 2/9</w:t>
      </w:r>
    </w:p>
    <w:p w14:paraId="04000000">
      <w:pPr>
        <w:pStyle w:val="Style_1"/>
        <w:spacing w:after="0"/>
        <w:ind w:firstLine="709"/>
        <w:jc w:val="right"/>
        <w:rPr>
          <w:rFonts w:ascii="Times New Roman" w:hAnsi="Times New Roman"/>
          <w:color w:val="000000"/>
          <w:sz w:val="26"/>
          <w:u w:val="single"/>
        </w:rPr>
      </w:pPr>
    </w:p>
    <w:p w14:paraId="05000000">
      <w:pPr>
        <w:pStyle w:val="Style_1"/>
        <w:spacing w:after="0"/>
        <w:ind w:firstLine="709"/>
        <w:jc w:val="right"/>
        <w:rPr>
          <w:rFonts w:ascii="Times New Roman" w:hAnsi="Times New Roman"/>
          <w:color w:val="000000"/>
          <w:sz w:val="26"/>
          <w:u w:val="single"/>
        </w:rPr>
      </w:pPr>
    </w:p>
    <w:p w14:paraId="06000000">
      <w:pPr>
        <w:pStyle w:val="Style_1"/>
        <w:spacing w:after="0"/>
        <w:ind/>
        <w:jc w:val="center"/>
      </w:pPr>
      <w:r>
        <w:rPr>
          <w:rFonts w:ascii="Times New Roman" w:hAnsi="Times New Roman"/>
          <w:b w:val="1"/>
          <w:color w:val="000000"/>
          <w:sz w:val="26"/>
        </w:rPr>
        <w:t>Ключевые показатели и их целевые значения, индикативные показатели</w:t>
      </w:r>
    </w:p>
    <w:p w14:paraId="07000000">
      <w:pPr>
        <w:pStyle w:val="Style_1"/>
        <w:spacing w:after="0"/>
        <w:ind/>
        <w:jc w:val="center"/>
      </w:pPr>
      <w:r>
        <w:rPr>
          <w:rFonts w:ascii="Times New Roman" w:hAnsi="Times New Roman"/>
          <w:b w:val="1"/>
          <w:color w:val="000000"/>
          <w:sz w:val="26"/>
        </w:rPr>
        <w:t>по муниципальному лесному контролю на территории ЗАТО г. Радужный Владимирской области</w:t>
      </w:r>
    </w:p>
    <w:p w14:paraId="08000000">
      <w:pPr>
        <w:pStyle w:val="Style_1"/>
        <w:spacing w:after="0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09000000">
      <w:pPr>
        <w:tabs>
          <w:tab w:leader="none" w:pos="1134" w:val="left"/>
        </w:tabs>
        <w:ind/>
        <w:contextualSpacing w:val="1"/>
        <w:jc w:val="both"/>
      </w:pPr>
      <w:r>
        <w:t>1. Ключевые показатели муниципального лесного контроля и их целевые значения</w:t>
      </w:r>
    </w:p>
    <w:p w14:paraId="0A000000">
      <w:pPr>
        <w:tabs>
          <w:tab w:leader="none" w:pos="1134" w:val="left"/>
        </w:tabs>
        <w:ind/>
        <w:contextualSpacing w:val="1"/>
        <w:jc w:val="both"/>
      </w:pPr>
    </w:p>
    <w:tbl>
      <w:tblPr>
        <w:tblStyle w:val="Style_2"/>
        <w:tblInd w:type="dxa" w:w="85"/>
        <w:tblLayout w:type="fixed"/>
      </w:tblPr>
      <w:tblGrid>
        <w:gridCol w:w="732"/>
        <w:gridCol w:w="6662"/>
        <w:gridCol w:w="2267"/>
      </w:tblGrid>
      <w:tr>
        <w:trPr>
          <w:trHeight w:hRule="atLeast" w:val="591"/>
        </w:trPr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widowControl w:val="0"/>
              <w:ind w:firstLine="0" w:left="57"/>
              <w:jc w:val="center"/>
            </w:pPr>
            <w:r>
              <w:rPr>
                <w:b w:val="1"/>
                <w:color w:val="000000"/>
              </w:rPr>
              <w:t>№ п/п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widowControl w:val="0"/>
              <w:ind w:firstLine="0" w:left="57"/>
              <w:jc w:val="center"/>
            </w:pPr>
            <w:r>
              <w:rPr>
                <w:b w:val="1"/>
                <w:color w:val="000000"/>
              </w:rPr>
              <w:t>Ключевые показатели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widowControl w:val="0"/>
              <w:ind w:hanging="113" w:left="23"/>
              <w:jc w:val="center"/>
            </w:pPr>
            <w:r>
              <w:rPr>
                <w:b w:val="1"/>
                <w:color w:val="000000"/>
              </w:rPr>
              <w:t>Целевые значения</w:t>
            </w:r>
          </w:p>
        </w:tc>
      </w:tr>
      <w:tr>
        <w:trPr>
          <w:trHeight w:hRule="atLeast" w:val="150"/>
        </w:trPr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0"/>
              <w:numPr>
                <w:ilvl w:val="0"/>
                <w:numId w:val="1"/>
              </w:numPr>
              <w:ind w:hanging="357" w:left="414"/>
              <w:jc w:val="both"/>
              <w:rPr>
                <w:b w:val="1"/>
                <w:color w:val="000000"/>
              </w:rPr>
            </w:pP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0"/>
              <w:ind w:firstLine="0" w:left="57"/>
              <w:jc w:val="both"/>
            </w:pPr>
            <w:r>
              <w:rPr>
                <w:color w:val="000000"/>
              </w:rPr>
              <w:t xml:space="preserve">Процент устраненных нарушений из числа выявленных нарушений лесного законодательства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0"/>
              <w:ind w:firstLine="33"/>
              <w:jc w:val="center"/>
            </w:pPr>
            <w:r>
              <w:rPr>
                <w:color w:val="000000"/>
              </w:rPr>
              <w:t>70%</w:t>
            </w:r>
          </w:p>
        </w:tc>
      </w:tr>
      <w:tr>
        <w:trPr>
          <w:trHeight w:hRule="atLeast" w:val="157"/>
        </w:trPr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widowControl w:val="0"/>
              <w:numPr>
                <w:ilvl w:val="0"/>
                <w:numId w:val="1"/>
              </w:numPr>
              <w:ind w:hanging="357" w:left="414"/>
              <w:jc w:val="both"/>
              <w:rPr>
                <w:color w:val="000000"/>
              </w:rPr>
            </w:pP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widowControl w:val="0"/>
              <w:ind w:firstLine="0" w:left="57"/>
              <w:jc w:val="both"/>
            </w:pPr>
            <w:r>
              <w:rPr>
                <w:color w:val="000000"/>
              </w:rPr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widowControl w:val="0"/>
              <w:ind w:firstLine="33"/>
              <w:jc w:val="center"/>
            </w:pPr>
            <w:r>
              <w:rPr>
                <w:color w:val="000000"/>
              </w:rPr>
              <w:t>100%</w:t>
            </w:r>
          </w:p>
        </w:tc>
      </w:tr>
      <w:tr>
        <w:trPr>
          <w:trHeight w:hRule="atLeast" w:val="127"/>
        </w:trPr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0"/>
              <w:numPr>
                <w:ilvl w:val="0"/>
                <w:numId w:val="1"/>
              </w:numPr>
              <w:ind w:hanging="357" w:left="414"/>
              <w:jc w:val="both"/>
              <w:rPr>
                <w:color w:val="000000"/>
              </w:rPr>
            </w:pP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widowControl w:val="0"/>
              <w:ind w:firstLine="0" w:left="57"/>
              <w:jc w:val="both"/>
            </w:pPr>
            <w:r>
              <w:rPr>
                <w:color w:val="000000"/>
              </w:rPr>
              <w:t xml:space="preserve"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widowControl w:val="0"/>
              <w:ind w:firstLine="33"/>
              <w:jc w:val="center"/>
            </w:pPr>
            <w:r>
              <w:rPr>
                <w:color w:val="000000"/>
              </w:rPr>
              <w:t>0%</w:t>
            </w:r>
          </w:p>
        </w:tc>
      </w:tr>
    </w:tbl>
    <w:p w14:paraId="17000000">
      <w:pPr>
        <w:widowControl w:val="0"/>
        <w:ind/>
        <w:jc w:val="center"/>
        <w:rPr>
          <w:b w:val="1"/>
          <w:color w:val="000000"/>
        </w:rPr>
      </w:pPr>
    </w:p>
    <w:p w14:paraId="18000000">
      <w:pPr>
        <w:widowControl w:val="0"/>
        <w:ind/>
        <w:jc w:val="both"/>
      </w:pPr>
      <w:r>
        <w:rPr>
          <w:color w:val="000000"/>
        </w:rPr>
        <w:t xml:space="preserve">2. Индикативные показатели </w:t>
      </w:r>
      <w:r>
        <w:t>муниципального лесного контроля</w:t>
      </w:r>
    </w:p>
    <w:p w14:paraId="19000000">
      <w:pPr>
        <w:widowControl w:val="0"/>
        <w:ind/>
        <w:jc w:val="center"/>
        <w:rPr>
          <w:b w:val="1"/>
          <w:color w:val="000000"/>
        </w:rPr>
      </w:pPr>
    </w:p>
    <w:tbl>
      <w:tblPr>
        <w:tblStyle w:val="Style_2"/>
        <w:tblInd w:type="dxa" w:w="121"/>
        <w:tblLayout w:type="fixed"/>
        <w:tblCellMar>
          <w:left w:type="dxa" w:w="149"/>
          <w:right w:type="dxa" w:w="149"/>
        </w:tblCellMar>
      </w:tblPr>
      <w:tblGrid>
        <w:gridCol w:w="894"/>
        <w:gridCol w:w="2232"/>
        <w:gridCol w:w="177"/>
        <w:gridCol w:w="815"/>
        <w:gridCol w:w="2511"/>
        <w:gridCol w:w="127"/>
        <w:gridCol w:w="953"/>
        <w:gridCol w:w="150"/>
        <w:gridCol w:w="1814"/>
      </w:tblGrid>
      <w:tr>
        <w:trPr>
          <w:tblHeader/>
        </w:trP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1A000000">
            <w:pPr>
              <w:ind/>
              <w:jc w:val="center"/>
            </w:pPr>
            <w:r>
              <w:rPr>
                <w:b w:val="1"/>
                <w:sz w:val="22"/>
              </w:rPr>
              <w:t>№ п/п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1B000000">
            <w:pPr>
              <w:ind/>
              <w:jc w:val="center"/>
            </w:pPr>
            <w:r>
              <w:rPr>
                <w:b w:val="1"/>
                <w:sz w:val="22"/>
              </w:rPr>
              <w:t>Наименование показателя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1C000000">
            <w:pPr>
              <w:ind/>
              <w:jc w:val="center"/>
            </w:pPr>
            <w:r>
              <w:rPr>
                <w:b w:val="1"/>
                <w:sz w:val="22"/>
              </w:rPr>
              <w:t>Расчет показателя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1D000000">
            <w:pPr>
              <w:ind/>
              <w:jc w:val="center"/>
            </w:pPr>
            <w:r>
              <w:rPr>
                <w:b w:val="1"/>
                <w:sz w:val="20"/>
              </w:rPr>
              <w:t>Условные обозначения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1E000000">
            <w:pPr>
              <w:ind w:right="-149"/>
              <w:jc w:val="center"/>
            </w:pPr>
            <w:r>
              <w:rPr>
                <w:b w:val="1"/>
                <w:sz w:val="22"/>
              </w:rPr>
              <w:t>% выполне</w:t>
            </w:r>
          </w:p>
          <w:p w14:paraId="1F000000">
            <w:pPr>
              <w:ind w:right="-149"/>
              <w:jc w:val="center"/>
            </w:pPr>
            <w:r>
              <w:rPr>
                <w:b w:val="1"/>
                <w:sz w:val="22"/>
              </w:rPr>
              <w:t>ния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20000000">
            <w:pPr>
              <w:ind/>
              <w:jc w:val="center"/>
            </w:pPr>
            <w:r>
              <w:rPr>
                <w:b w:val="1"/>
                <w:sz w:val="22"/>
              </w:rPr>
              <w:t>Примечание</w:t>
            </w: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1000000">
            <w:pPr>
              <w:ind/>
              <w:jc w:val="center"/>
            </w:pPr>
            <w:r>
              <w:rPr>
                <w:b w:val="1"/>
              </w:rPr>
              <w:t>1.</w:t>
            </w:r>
          </w:p>
        </w:tc>
        <w:tc>
          <w:tcPr>
            <w:tcW w:type="dxa" w:w="8779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2000000">
            <w:pPr>
              <w:widowControl w:val="0"/>
              <w:ind/>
              <w:jc w:val="center"/>
            </w:pPr>
            <w:r>
              <w:rPr>
                <w:b w:val="1"/>
                <w:color w:val="000000"/>
              </w:rPr>
              <w:t xml:space="preserve">Индикативные показатели, </w:t>
            </w:r>
            <w:r>
              <w:rPr>
                <w:b w:val="1"/>
              </w:rPr>
              <w:t xml:space="preserve">характеризующие параметры </w:t>
            </w:r>
          </w:p>
          <w:p w14:paraId="23000000">
            <w:pPr>
              <w:ind/>
              <w:jc w:val="center"/>
            </w:pPr>
            <w:r>
              <w:rPr>
                <w:b w:val="1"/>
              </w:rPr>
              <w:t>проведенных мероприятий</w:t>
            </w: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4000000">
            <w:pPr>
              <w:ind/>
              <w:jc w:val="center"/>
            </w:pPr>
            <w:r>
              <w:t>1.1.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5000000">
            <w:pPr>
              <w:ind/>
              <w:jc w:val="both"/>
            </w:pPr>
            <w:r>
              <w:t>Выполняемость плановых заданий (осмотров)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6000000">
            <w:pPr>
              <w:ind/>
              <w:jc w:val="center"/>
            </w:pPr>
            <w:r>
              <w:t>Врз = (РЗф / РЗп) x 100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7000000">
            <w:r>
              <w:rPr>
                <w:sz w:val="20"/>
              </w:rPr>
              <w:t>Врз - выполняемость плановых заданий (осмотров) %</w:t>
            </w:r>
          </w:p>
          <w:p w14:paraId="28000000">
            <w:r>
              <w:rPr>
                <w:sz w:val="20"/>
              </w:rPr>
              <w:t>РЗф -количество проведенных плановых заданий (осмотров) (ед.)</w:t>
            </w:r>
          </w:p>
          <w:p w14:paraId="29000000">
            <w:r>
              <w:rPr>
                <w:sz w:val="20"/>
              </w:rPr>
              <w:t>РЗп - количество утвержденных плановых заданий (осмотров) (ед.)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A000000">
            <w:pPr>
              <w:ind w:right="-149"/>
              <w:jc w:val="center"/>
            </w:pPr>
            <w:r>
              <w:t>100%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B000000">
            <w:pPr>
              <w:ind/>
              <w:jc w:val="center"/>
            </w:pPr>
            <w:r>
              <w:t>Утвержденные плановые задания (осмотры)</w:t>
            </w: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C000000">
            <w:pPr>
              <w:ind/>
              <w:jc w:val="center"/>
            </w:pPr>
            <w:r>
              <w:t>1.2.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D000000">
            <w:r>
              <w:t>Выполняемость внеплановых проверок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E000000">
            <w:pPr>
              <w:ind/>
              <w:jc w:val="center"/>
            </w:pPr>
            <w:r>
              <w:t>Ввн = (Рф / Рп) x 100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F000000">
            <w:r>
              <w:rPr>
                <w:sz w:val="20"/>
              </w:rPr>
              <w:t>Ввн - выполняемость внеплановых проверок</w:t>
            </w:r>
          </w:p>
          <w:p w14:paraId="30000000">
            <w:r>
              <w:rPr>
                <w:sz w:val="20"/>
              </w:rPr>
              <w:t>Рф - количество проведенных внеплановых проверок (ед.)</w:t>
            </w:r>
          </w:p>
          <w:p w14:paraId="31000000">
            <w:r>
              <w:rPr>
                <w:sz w:val="20"/>
              </w:rPr>
              <w:t>Рп - количество распоряжений на проведение внеплановых проверок (ед.)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2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3000000">
            <w:pPr>
              <w:ind/>
              <w:jc w:val="center"/>
            </w:pPr>
            <w:r>
              <w:t>Письма и жалобы, поступившие в Контрольный орган</w:t>
            </w:r>
          </w:p>
        </w:tc>
      </w:tr>
      <w:tr>
        <w:trPr>
          <w:trHeight w:hRule="atLeast" w:val="1227"/>
        </w:trP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4000000">
            <w:pPr>
              <w:ind/>
              <w:jc w:val="center"/>
            </w:pPr>
            <w:r>
              <w:t>1.3.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5000000">
            <w:r>
              <w:t>Доля проверок, на результаты которых поданы жалобы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6000000">
            <w:pPr>
              <w:ind/>
              <w:jc w:val="center"/>
            </w:pPr>
            <w:r>
              <w:t>Ж x 100 / Пф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7000000">
            <w:r>
              <w:rPr>
                <w:sz w:val="20"/>
              </w:rPr>
              <w:t>Ж - количество жалоб (ед.)</w:t>
            </w:r>
          </w:p>
          <w:p w14:paraId="38000000">
            <w:r>
              <w:rPr>
                <w:sz w:val="20"/>
              </w:rPr>
              <w:t>Пф - количество проведенных проверок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9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A000000">
            <w:pPr>
              <w:widowControl w:val="0"/>
              <w:ind/>
            </w:pPr>
          </w:p>
        </w:tc>
      </w:tr>
      <w:tr>
        <w:trPr>
          <w:trHeight w:hRule="atLeast" w:val="1970"/>
        </w:trP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B000000">
            <w:pPr>
              <w:ind/>
              <w:jc w:val="center"/>
            </w:pPr>
            <w:r>
              <w:t>1.4.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C000000">
            <w:r>
              <w:t>Доля проверок, результаты которых были признаны недействительными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D000000">
            <w:pPr>
              <w:ind/>
              <w:jc w:val="center"/>
            </w:pPr>
            <w:r>
              <w:t>Пн x 100 / Пф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E000000">
            <w:r>
              <w:rPr>
                <w:sz w:val="20"/>
              </w:rPr>
              <w:t>Пн - количество проверок, признанных недействительными (ед.)</w:t>
            </w:r>
          </w:p>
          <w:p w14:paraId="3F000000">
            <w:r>
              <w:rPr>
                <w:sz w:val="20"/>
              </w:rPr>
              <w:t>Пф - количество проведенных проверок (ед.)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0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1000000">
            <w:pPr>
              <w:widowControl w:val="0"/>
              <w:ind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2000000">
            <w:pPr>
              <w:ind/>
              <w:jc w:val="center"/>
            </w:pPr>
            <w:r>
              <w:t>1.5.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3000000">
            <w:r>
              <w:t>Доля внеплановых проверок, которые не удалось провести в связи с отсутствием собственника, арендатора и т.д.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4000000">
            <w:pPr>
              <w:ind/>
              <w:jc w:val="center"/>
            </w:pPr>
            <w:r>
              <w:t>По x 100 / Пф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5000000">
            <w:r>
              <w:rPr>
                <w:sz w:val="20"/>
              </w:rPr>
              <w:t>По - проверки, не проведенные по причине отсутствия проверяемого лица (ед.)</w:t>
            </w:r>
          </w:p>
          <w:p w14:paraId="46000000">
            <w:r>
              <w:rPr>
                <w:sz w:val="20"/>
              </w:rPr>
              <w:t>Пф - количество проведенных проверок (ед.)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7000000">
            <w:pPr>
              <w:ind/>
              <w:jc w:val="center"/>
            </w:pPr>
            <w:r>
              <w:t>30%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8000000">
            <w:pPr>
              <w:widowControl w:val="0"/>
              <w:ind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9000000">
            <w:pPr>
              <w:ind/>
              <w:jc w:val="center"/>
            </w:pPr>
            <w:r>
              <w:t>1.6.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A000000">
            <w: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B000000">
            <w:pPr>
              <w:ind/>
              <w:jc w:val="center"/>
            </w:pPr>
            <w:r>
              <w:t>Кзо х 100 / Кпз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C000000">
            <w:r>
              <w:rPr>
                <w:sz w:val="20"/>
              </w:rPr>
              <w:t>Кзо - количество заявлений, по которым пришел отказ в согласовании (ед.)</w:t>
            </w:r>
          </w:p>
          <w:p w14:paraId="4D000000">
            <w:r>
              <w:rPr>
                <w:sz w:val="20"/>
              </w:rPr>
              <w:t>Кпз - количество поданных на согласование заявлений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E000000">
            <w:pPr>
              <w:ind/>
              <w:jc w:val="center"/>
            </w:pPr>
            <w:r>
              <w:t>10%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F000000">
            <w:pPr>
              <w:widowControl w:val="0"/>
              <w:ind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0000000">
            <w:pPr>
              <w:ind/>
              <w:jc w:val="center"/>
            </w:pPr>
            <w:r>
              <w:t>1.7.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1000000">
            <w: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2000000">
            <w:pPr>
              <w:ind/>
              <w:jc w:val="center"/>
            </w:pPr>
            <w:r>
              <w:t>Кнм х 100 / Квн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3000000">
            <w:r>
              <w:rPr>
                <w:sz w:val="20"/>
              </w:rPr>
              <w:t>К нм - количество материалов, направленных в уполномоченные органы (ед.)</w:t>
            </w:r>
          </w:p>
          <w:p w14:paraId="54000000">
            <w:r>
              <w:rPr>
                <w:sz w:val="20"/>
              </w:rPr>
              <w:t>Квн - количество выявленных нарушений (ед.)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5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6000000">
            <w:pPr>
              <w:widowControl w:val="0"/>
              <w:ind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7000000">
            <w:pPr>
              <w:ind/>
              <w:jc w:val="center"/>
            </w:pPr>
            <w:r>
              <w:t>1.8.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8000000">
            <w:r>
              <w:t>Количество проведенных профилактических мероприятий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9000000">
            <w:pPr>
              <w:widowControl w:val="0"/>
              <w:ind/>
            </w:pP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A000000">
            <w:pPr>
              <w:rPr>
                <w:sz w:val="20"/>
              </w:rPr>
            </w:pP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B000000">
            <w:pPr>
              <w:ind/>
              <w:jc w:val="center"/>
            </w:pPr>
            <w:r>
              <w:t>Шт.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C000000">
            <w:pPr>
              <w:widowControl w:val="0"/>
              <w:ind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D000000">
            <w:pPr>
              <w:ind/>
              <w:jc w:val="center"/>
            </w:pPr>
            <w:r>
              <w:rPr>
                <w:b w:val="1"/>
              </w:rPr>
              <w:t>2.</w:t>
            </w:r>
          </w:p>
        </w:tc>
        <w:tc>
          <w:tcPr>
            <w:tcW w:type="dxa" w:w="8779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E000000">
            <w:pPr>
              <w:ind/>
              <w:jc w:val="center"/>
            </w:pPr>
            <w:r>
              <w:rPr>
                <w:b w:val="1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F000000">
            <w:pPr>
              <w:ind/>
              <w:jc w:val="center"/>
            </w:pPr>
            <w:r>
              <w:t>2.1.</w:t>
            </w:r>
          </w:p>
        </w:tc>
        <w:tc>
          <w:tcPr>
            <w:tcW w:type="dxa" w:w="240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0000000">
            <w:r>
              <w:t>Количество штатных единиц</w:t>
            </w:r>
          </w:p>
        </w:tc>
        <w:tc>
          <w:tcPr>
            <w:tcW w:type="dxa" w:w="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1000000">
            <w:pPr>
              <w:widowControl w:val="0"/>
              <w:ind/>
            </w:pPr>
          </w:p>
        </w:tc>
        <w:tc>
          <w:tcPr>
            <w:tcW w:type="dxa" w:w="263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2000000">
            <w:pPr>
              <w:rPr>
                <w:sz w:val="20"/>
              </w:rPr>
            </w:pPr>
          </w:p>
        </w:tc>
        <w:tc>
          <w:tcPr>
            <w:tcW w:type="dxa" w:w="110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3000000">
            <w:pPr>
              <w:ind/>
              <w:jc w:val="center"/>
            </w:pPr>
            <w:r>
              <w:t>Чел.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4000000">
            <w:pPr>
              <w:widowControl w:val="0"/>
              <w:ind/>
              <w:jc w:val="center"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5000000">
            <w:pPr>
              <w:ind/>
              <w:jc w:val="center"/>
            </w:pPr>
            <w:r>
              <w:t>2.2.</w:t>
            </w:r>
          </w:p>
        </w:tc>
        <w:tc>
          <w:tcPr>
            <w:tcW w:type="dxa" w:w="240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6000000">
            <w: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type="dxa" w:w="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7000000">
            <w:pPr>
              <w:ind/>
              <w:jc w:val="center"/>
            </w:pPr>
            <w:r>
              <w:t>Км / Кр= Нк</w:t>
            </w:r>
          </w:p>
        </w:tc>
        <w:tc>
          <w:tcPr>
            <w:tcW w:type="dxa" w:w="263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8000000">
            <w:r>
              <w:rPr>
                <w:sz w:val="20"/>
              </w:rPr>
              <w:t>Км - количество контрольных мероприятий (ед.)</w:t>
            </w:r>
          </w:p>
          <w:p w14:paraId="69000000">
            <w:r>
              <w:rPr>
                <w:sz w:val="20"/>
              </w:rPr>
              <w:t>Кр - количество работников органа муниципального контроля (ед.)</w:t>
            </w:r>
          </w:p>
          <w:p w14:paraId="6A000000">
            <w:r>
              <w:rPr>
                <w:sz w:val="20"/>
              </w:rPr>
              <w:t>Нк - нагрузка на 1 работника (ед.)</w:t>
            </w:r>
          </w:p>
        </w:tc>
        <w:tc>
          <w:tcPr>
            <w:tcW w:type="dxa" w:w="110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B00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C000000"/>
        </w:tc>
      </w:tr>
    </w:tbl>
    <w:p w14:paraId="6D000000">
      <w:pPr>
        <w:tabs>
          <w:tab w:leader="none" w:pos="1134" w:val="left"/>
        </w:tabs>
        <w:ind/>
        <w:contextualSpacing w:val="1"/>
        <w:jc w:val="both"/>
        <w:rPr>
          <w:color w:val="FF0000"/>
        </w:rPr>
      </w:pPr>
    </w:p>
    <w:p w14:paraId="6E000000">
      <w:pPr>
        <w:ind/>
        <w:jc w:val="right"/>
        <w:rPr>
          <w:color w:val="FF0000"/>
        </w:rPr>
      </w:pPr>
    </w:p>
    <w:p w14:paraId="6F000000">
      <w:pPr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sectPr>
      <w:pgSz w:h="16838" w:w="11906"/>
      <w:pgMar w:bottom="426" w:footer="720" w:gutter="0" w:header="72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77"/>
      </w:pPr>
    </w:lvl>
  </w:abstractNum>
  <w:abstractNum w:abstractNumId="1">
    <w:lvl w:ilvl="0">
      <w:start w:val="1"/>
      <w:numFmt w:val="decimal"/>
      <w:pStyle w:val="Style_19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40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Liberation Serif" w:hAnsi="Liberation Serif"/>
      <w:sz w:val="24"/>
    </w:rPr>
  </w:style>
  <w:style w:default="1" w:styleId="Style_3_ch" w:type="character">
    <w:name w:val="Normal"/>
    <w:link w:val="Style_3"/>
    <w:rPr>
      <w:rFonts w:ascii="Liberation Serif" w:hAnsi="Liberation Serif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WW8Num3z3"/>
    <w:link w:val="Style_8_ch"/>
  </w:style>
  <w:style w:styleId="Style_8_ch" w:type="character">
    <w:name w:val="WW8Num3z3"/>
    <w:link w:val="Style_8"/>
  </w:style>
  <w:style w:styleId="Style_9" w:type="paragraph">
    <w:name w:val="WW8Num3z2"/>
    <w:link w:val="Style_9_ch"/>
  </w:style>
  <w:style w:styleId="Style_9_ch" w:type="character">
    <w:name w:val="WW8Num3z2"/>
    <w:link w:val="Style_9"/>
  </w:style>
  <w:style w:styleId="Style_10" w:type="paragraph">
    <w:name w:val="heading 3"/>
    <w:next w:val="Style_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WW8Num3z4"/>
    <w:link w:val="Style_11_ch"/>
  </w:style>
  <w:style w:styleId="Style_11_ch" w:type="character">
    <w:name w:val="WW8Num3z4"/>
    <w:link w:val="Style_11"/>
  </w:style>
  <w:style w:styleId="Style_12" w:type="paragraph">
    <w:name w:val="Body Text 2"/>
    <w:basedOn w:val="Style_3"/>
    <w:link w:val="Style_12_ch"/>
    <w:pPr>
      <w:ind w:firstLine="0" w:left="570" w:right="0"/>
      <w:jc w:val="both"/>
    </w:pPr>
  </w:style>
  <w:style w:styleId="Style_12_ch" w:type="character">
    <w:name w:val="Body Text 2"/>
    <w:basedOn w:val="Style_3_ch"/>
    <w:link w:val="Style_12"/>
  </w:style>
  <w:style w:styleId="Style_13" w:type="paragraph">
    <w:name w:val="Заголовок"/>
    <w:basedOn w:val="Style_3"/>
    <w:next w:val="Style_1"/>
    <w:link w:val="Style_1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3_ch" w:type="character">
    <w:name w:val="Заголовок"/>
    <w:basedOn w:val="Style_3_ch"/>
    <w:link w:val="Style_13"/>
    <w:rPr>
      <w:rFonts w:ascii="Liberation Sans" w:hAnsi="Liberation Sans"/>
      <w:sz w:val="28"/>
    </w:rPr>
  </w:style>
  <w:style w:styleId="Style_14" w:type="paragraph">
    <w:name w:val="WW8Num3z8"/>
    <w:link w:val="Style_14_ch"/>
  </w:style>
  <w:style w:styleId="Style_14_ch" w:type="character">
    <w:name w:val="WW8Num3z8"/>
    <w:link w:val="Style_14"/>
  </w:style>
  <w:style w:styleId="Style_15" w:type="paragraph">
    <w:name w:val="toc 3"/>
    <w:next w:val="Style_3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WW8Num3z0"/>
    <w:link w:val="Style_16_ch"/>
  </w:style>
  <w:style w:styleId="Style_16_ch" w:type="character">
    <w:name w:val="WW8Num3z0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WW8Num3z7"/>
    <w:link w:val="Style_18_ch"/>
  </w:style>
  <w:style w:styleId="Style_18_ch" w:type="character">
    <w:name w:val="WW8Num3z7"/>
    <w:link w:val="Style_18"/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numPr>
        <w:ilvl w:val="0"/>
        <w:numId w:val="2"/>
      </w:numPr>
      <w:ind/>
      <w:outlineLvl w:val="0"/>
    </w:pPr>
    <w:rPr>
      <w:sz w:val="40"/>
    </w:rPr>
  </w:style>
  <w:style w:styleId="Style_19_ch" w:type="character">
    <w:name w:val="heading 1"/>
    <w:basedOn w:val="Style_3_ch"/>
    <w:link w:val="Style_19"/>
    <w:rPr>
      <w:sz w:val="40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3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ConsPlusNormal"/>
    <w:link w:val="Style_25_ch"/>
    <w:pPr>
      <w:widowControl w:val="0"/>
      <w:ind w:firstLine="720"/>
    </w:pPr>
    <w:rPr>
      <w:sz w:val="24"/>
    </w:rPr>
  </w:style>
  <w:style w:styleId="Style_25_ch" w:type="character">
    <w:name w:val="ConsPlusNormal"/>
    <w:link w:val="Style_25"/>
    <w:rPr>
      <w:sz w:val="24"/>
    </w:rPr>
  </w:style>
  <w:style w:styleId="Style_26" w:type="paragraph">
    <w:name w:val="List"/>
    <w:basedOn w:val="Style_1"/>
    <w:link w:val="Style_26_ch"/>
  </w:style>
  <w:style w:styleId="Style_26_ch" w:type="character">
    <w:name w:val="List"/>
    <w:basedOn w:val="Style_1_ch"/>
    <w:link w:val="Style_26"/>
  </w:style>
  <w:style w:styleId="Style_27" w:type="paragraph">
    <w:name w:val="toc 8"/>
    <w:next w:val="Style_3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WW8Num3z6"/>
    <w:link w:val="Style_28_ch"/>
  </w:style>
  <w:style w:styleId="Style_28_ch" w:type="character">
    <w:name w:val="WW8Num3z6"/>
    <w:link w:val="Style_28"/>
  </w:style>
  <w:style w:styleId="Style_29" w:type="paragraph">
    <w:name w:val="Указатель1"/>
    <w:basedOn w:val="Style_3"/>
    <w:link w:val="Style_29_ch"/>
  </w:style>
  <w:style w:styleId="Style_29_ch" w:type="character">
    <w:name w:val="Указатель1"/>
    <w:basedOn w:val="Style_3_ch"/>
    <w:link w:val="Style_29"/>
  </w:style>
  <w:style w:styleId="Style_30" w:type="paragraph">
    <w:name w:val="toc 5"/>
    <w:next w:val="Style_3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Содержимое таблицы"/>
    <w:basedOn w:val="Style_3"/>
    <w:link w:val="Style_31_ch"/>
    <w:pPr>
      <w:widowControl w:val="0"/>
      <w:ind/>
    </w:pPr>
  </w:style>
  <w:style w:styleId="Style_31_ch" w:type="character">
    <w:name w:val="Содержимое таблицы"/>
    <w:basedOn w:val="Style_3_ch"/>
    <w:link w:val="Style_31"/>
  </w:style>
  <w:style w:styleId="Style_32" w:type="paragraph">
    <w:name w:val="caption"/>
    <w:basedOn w:val="Style_3"/>
    <w:link w:val="Style_32_ch"/>
    <w:pPr>
      <w:spacing w:after="120" w:before="120"/>
      <w:ind/>
    </w:pPr>
    <w:rPr>
      <w:i w:val="1"/>
      <w:sz w:val="24"/>
    </w:rPr>
  </w:style>
  <w:style w:styleId="Style_32_ch" w:type="character">
    <w:name w:val="caption"/>
    <w:basedOn w:val="Style_3_ch"/>
    <w:link w:val="Style_32"/>
    <w:rPr>
      <w:i w:val="1"/>
      <w:sz w:val="24"/>
    </w:rPr>
  </w:style>
  <w:style w:styleId="Style_33" w:type="paragraph">
    <w:name w:val="WW8Num3z1"/>
    <w:link w:val="Style_33_ch"/>
  </w:style>
  <w:style w:styleId="Style_33_ch" w:type="character">
    <w:name w:val="WW8Num3z1"/>
    <w:link w:val="Style_33"/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Subtitle"/>
    <w:next w:val="Style_3"/>
    <w:link w:val="Style_35_ch"/>
    <w:uiPriority w:val="11"/>
    <w:qFormat/>
    <w:rPr>
      <w:rFonts w:ascii="XO Thames" w:hAnsi="XO Thames"/>
      <w:i w:val="1"/>
      <w:color w:val="616161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616161"/>
      <w:sz w:val="24"/>
    </w:rPr>
  </w:style>
  <w:style w:styleId="Style_36" w:type="paragraph">
    <w:name w:val="toc 10"/>
    <w:next w:val="Style_3"/>
    <w:link w:val="Style_36_ch"/>
    <w:uiPriority w:val="39"/>
    <w:pPr>
      <w:ind w:firstLine="0" w:left="1800"/>
    </w:pPr>
  </w:style>
  <w:style w:styleId="Style_36_ch" w:type="character">
    <w:name w:val="toc 10"/>
    <w:link w:val="Style_36"/>
  </w:style>
  <w:style w:styleId="Style_37" w:type="paragraph">
    <w:name w:val="Title"/>
    <w:next w:val="Style_3"/>
    <w:link w:val="Style_37_ch"/>
    <w:uiPriority w:val="10"/>
    <w:qFormat/>
    <w:rPr>
      <w:rFonts w:ascii="XO Thames" w:hAnsi="XO Thames"/>
      <w:b w:val="1"/>
      <w:sz w:val="52"/>
    </w:rPr>
  </w:style>
  <w:style w:styleId="Style_37_ch" w:type="character">
    <w:name w:val="Title"/>
    <w:link w:val="Style_37"/>
    <w:rPr>
      <w:rFonts w:ascii="XO Thames" w:hAnsi="XO Thames"/>
      <w:b w:val="1"/>
      <w:sz w:val="52"/>
    </w:rPr>
  </w:style>
  <w:style w:styleId="Style_38" w:type="paragraph">
    <w:name w:val="heading 4"/>
    <w:next w:val="Style_3"/>
    <w:link w:val="Style_3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_ch" w:type="character">
    <w:name w:val="heading 4"/>
    <w:link w:val="Style_38"/>
    <w:rPr>
      <w:rFonts w:ascii="XO Thames" w:hAnsi="XO Thames"/>
      <w:b w:val="1"/>
      <w:color w:val="595959"/>
      <w:sz w:val="26"/>
    </w:rPr>
  </w:style>
  <w:style w:styleId="Style_1" w:type="paragraph">
    <w:name w:val="Body Text"/>
    <w:basedOn w:val="Style_3"/>
    <w:link w:val="Style_1_ch"/>
    <w:pPr>
      <w:spacing w:after="140" w:before="0" w:line="276" w:lineRule="auto"/>
      <w:ind/>
    </w:pPr>
  </w:style>
  <w:style w:styleId="Style_1_ch" w:type="character">
    <w:name w:val="Body Text"/>
    <w:basedOn w:val="Style_3_ch"/>
    <w:link w:val="Style_1"/>
  </w:style>
  <w:style w:styleId="Style_39" w:type="paragraph">
    <w:name w:val="WW8Num3z5"/>
    <w:link w:val="Style_39_ch"/>
  </w:style>
  <w:style w:styleId="Style_39_ch" w:type="character">
    <w:name w:val="WW8Num3z5"/>
    <w:link w:val="Style_39"/>
  </w:style>
  <w:style w:styleId="Style_40" w:type="paragraph">
    <w:name w:val="heading 2"/>
    <w:basedOn w:val="Style_3"/>
    <w:next w:val="Style_3"/>
    <w:link w:val="Style_40_ch"/>
    <w:uiPriority w:val="9"/>
    <w:qFormat/>
    <w:pPr>
      <w:keepNext w:val="1"/>
      <w:numPr>
        <w:ilvl w:val="1"/>
        <w:numId w:val="2"/>
      </w:numPr>
      <w:ind/>
      <w:jc w:val="center"/>
      <w:outlineLvl w:val="1"/>
    </w:pPr>
    <w:rPr>
      <w:sz w:val="36"/>
    </w:rPr>
  </w:style>
  <w:style w:styleId="Style_40_ch" w:type="character">
    <w:name w:val="heading 2"/>
    <w:basedOn w:val="Style_3_ch"/>
    <w:link w:val="Style_40"/>
    <w:rPr>
      <w:sz w:val="3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2022-02-15T13:00:58Z</dcterms:modified>
</cp:coreProperties>
</file>