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CF6" w:rsidRDefault="001E6CF6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9E322A">
      <w:pPr>
        <w:jc w:val="right"/>
      </w:pPr>
      <w:r>
        <w:rPr>
          <w:sz w:val="26"/>
          <w:szCs w:val="28"/>
        </w:rPr>
        <w:t>Приложение</w:t>
      </w:r>
    </w:p>
    <w:p w:rsidR="001E6CF6" w:rsidRDefault="009E322A">
      <w:pPr>
        <w:jc w:val="right"/>
      </w:pPr>
      <w:r>
        <w:rPr>
          <w:sz w:val="26"/>
          <w:szCs w:val="28"/>
        </w:rPr>
        <w:t xml:space="preserve">к постановлению администрации </w:t>
      </w:r>
    </w:p>
    <w:p w:rsidR="001E6CF6" w:rsidRDefault="009E322A">
      <w:pPr>
        <w:jc w:val="right"/>
      </w:pPr>
      <w:r>
        <w:rPr>
          <w:sz w:val="26"/>
          <w:szCs w:val="28"/>
        </w:rPr>
        <w:t xml:space="preserve">ЗАТО г. </w:t>
      </w:r>
      <w:proofErr w:type="gramStart"/>
      <w:r>
        <w:rPr>
          <w:sz w:val="26"/>
          <w:szCs w:val="28"/>
        </w:rPr>
        <w:t>Радужный</w:t>
      </w:r>
      <w:proofErr w:type="gramEnd"/>
      <w:r>
        <w:rPr>
          <w:sz w:val="26"/>
          <w:szCs w:val="28"/>
        </w:rPr>
        <w:t xml:space="preserve"> Владимирской области </w:t>
      </w:r>
    </w:p>
    <w:p w:rsidR="001E6CF6" w:rsidRDefault="009E322A">
      <w:pPr>
        <w:tabs>
          <w:tab w:val="left" w:pos="9214"/>
        </w:tabs>
        <w:ind w:left="142"/>
        <w:jc w:val="right"/>
      </w:pPr>
      <w:r>
        <w:rPr>
          <w:sz w:val="26"/>
          <w:szCs w:val="28"/>
        </w:rPr>
        <w:t xml:space="preserve">от </w:t>
      </w:r>
      <w:r w:rsidRPr="00477A89">
        <w:rPr>
          <w:sz w:val="26"/>
          <w:szCs w:val="28"/>
        </w:rPr>
        <w:t>_</w:t>
      </w:r>
      <w:r w:rsidR="002A0F30">
        <w:rPr>
          <w:sz w:val="26"/>
          <w:szCs w:val="28"/>
        </w:rPr>
        <w:t>15.02.2018__</w:t>
      </w:r>
      <w:r>
        <w:rPr>
          <w:sz w:val="26"/>
          <w:szCs w:val="28"/>
        </w:rPr>
        <w:t xml:space="preserve">года № </w:t>
      </w:r>
      <w:r w:rsidR="002A0F30">
        <w:rPr>
          <w:sz w:val="26"/>
          <w:szCs w:val="28"/>
        </w:rPr>
        <w:t>215</w:t>
      </w:r>
      <w:r w:rsidRPr="00477A89">
        <w:rPr>
          <w:sz w:val="26"/>
          <w:szCs w:val="28"/>
        </w:rPr>
        <w:t>_</w:t>
      </w:r>
    </w:p>
    <w:p w:rsidR="001E6CF6" w:rsidRDefault="001E6CF6">
      <w:pPr>
        <w:tabs>
          <w:tab w:val="left" w:pos="9214"/>
        </w:tabs>
        <w:ind w:left="142"/>
        <w:jc w:val="right"/>
      </w:pPr>
    </w:p>
    <w:p w:rsidR="001E6CF6" w:rsidRDefault="001E6CF6">
      <w:pPr>
        <w:tabs>
          <w:tab w:val="left" w:pos="9214"/>
        </w:tabs>
        <w:ind w:left="142"/>
        <w:jc w:val="right"/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sz w:val="46"/>
          <w:szCs w:val="46"/>
        </w:rPr>
        <w:t xml:space="preserve">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1E6CF6" w:rsidRDefault="009E322A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2016 год</w:t>
      </w: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lastRenderedPageBreak/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«Комитет по культуре и спорту» ЗАТО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proofErr w:type="gramStart"/>
            <w:r>
              <w:rPr>
                <w:sz w:val="26"/>
                <w:szCs w:val="26"/>
              </w:rPr>
              <w:t>Администрация</w:t>
            </w:r>
            <w:proofErr w:type="gramEnd"/>
            <w:r>
              <w:rPr>
                <w:sz w:val="26"/>
                <w:szCs w:val="26"/>
              </w:rPr>
              <w:t xml:space="preserve">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>
              <w:rPr>
                <w:color w:val="000000"/>
                <w:sz w:val="26"/>
                <w:szCs w:val="26"/>
              </w:rPr>
              <w:t>УГОиЧС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), </w:t>
            </w:r>
            <w:r>
              <w:rPr>
                <w:sz w:val="26"/>
                <w:szCs w:val="26"/>
              </w:rPr>
              <w:t xml:space="preserve">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Управление Федеральной службы исполнения наказаний России по Владимирской области  (</w:t>
            </w:r>
            <w:proofErr w:type="spellStart"/>
            <w:r>
              <w:rPr>
                <w:sz w:val="26"/>
                <w:szCs w:val="26"/>
              </w:rPr>
              <w:t>далее-УФСИН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</w:t>
            </w: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</w:t>
            </w:r>
            <w:proofErr w:type="gramStart"/>
            <w:r>
              <w:rPr>
                <w:sz w:val="26"/>
                <w:szCs w:val="26"/>
              </w:rPr>
              <w:t>прав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Комиссия по профилактике правонарушений ЗАТО г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 xml:space="preserve">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</w:t>
            </w:r>
            <w:proofErr w:type="gramStart"/>
            <w:r>
              <w:rPr>
                <w:color w:val="000000"/>
                <w:sz w:val="26"/>
                <w:szCs w:val="26"/>
              </w:rPr>
              <w:t>организации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НП «МГКТВ».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Подпрограмма «Противодействие терроризму и экстремизму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-совершенствование системы профилактических мер  антитеррористической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безопасных условий жизнедеятельности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Соотношение количества протоколов административных правонарушений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2017-2020 годы.</w:t>
            </w:r>
          </w:p>
          <w:p w:rsidR="001E6CF6" w:rsidRDefault="001E6CF6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Общие затраты на реализацию муниципальной программы в 2017 – 2020 годы составят </w:t>
            </w:r>
            <w:r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 </w:t>
            </w:r>
            <w:r>
              <w:rPr>
                <w:rFonts w:eastAsia="Tahoma"/>
                <w:b/>
                <w:bCs/>
                <w:kern w:val="1"/>
                <w:sz w:val="24"/>
                <w:szCs w:val="24"/>
              </w:rPr>
              <w:t>10894,16186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в 2018 году – 9988,406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1"/>
                <w:sz w:val="26"/>
                <w:szCs w:val="26"/>
              </w:rPr>
              <w:t>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>в 2019 году – 173,00 тыс. рублей.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>в 2020 году — 315,00 тыс</w:t>
            </w:r>
            <w:proofErr w:type="gramStart"/>
            <w:r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/>
                <w:kern w:val="1"/>
                <w:sz w:val="26"/>
                <w:szCs w:val="26"/>
              </w:rPr>
              <w:t>ублей</w:t>
            </w: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ужесточить контроль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 xml:space="preserve"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 xml:space="preserve">Действие муниципальной программы будет способствовать решению задач по усилению правопорядка и обеспечения безопасности дорожного движения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  <w:proofErr w:type="gramEnd"/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>
        <w:rPr>
          <w:sz w:val="26"/>
          <w:szCs w:val="26"/>
        </w:rPr>
        <w:t>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</w:t>
      </w:r>
      <w:proofErr w:type="gramEnd"/>
      <w:r>
        <w:rPr>
          <w:sz w:val="26"/>
          <w:szCs w:val="26"/>
        </w:rPr>
        <w:t xml:space="preserve">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</w:t>
      </w:r>
      <w:proofErr w:type="gramStart"/>
      <w:r>
        <w:rPr>
          <w:sz w:val="26"/>
          <w:szCs w:val="26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  <w:proofErr w:type="gramEnd"/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</w:t>
      </w:r>
      <w:proofErr w:type="gramStart"/>
      <w:r>
        <w:rPr>
          <w:spacing w:val="-2"/>
          <w:sz w:val="26"/>
          <w:szCs w:val="26"/>
        </w:rPr>
        <w:t>разработки</w:t>
      </w:r>
      <w:proofErr w:type="gramEnd"/>
      <w:r>
        <w:rPr>
          <w:spacing w:val="-2"/>
          <w:sz w:val="26"/>
          <w:szCs w:val="26"/>
        </w:rPr>
        <w:t xml:space="preserve">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совершенствование системы профилактических мер  антитеррористической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антиэкстремистской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b/>
          <w:sz w:val="26"/>
          <w:szCs w:val="26"/>
        </w:rPr>
        <w:lastRenderedPageBreak/>
        <w:t>Задачи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территории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ЗАТО г. Радужный;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>
      <w:pPr>
        <w:pStyle w:val="ConsPlusNormal"/>
        <w:widowControl/>
        <w:autoSpaceDE w:val="0"/>
        <w:ind w:left="110" w:right="110" w:firstLine="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1E6CF6" w:rsidRDefault="009E322A">
      <w:pPr>
        <w:pStyle w:val="26"/>
        <w:tabs>
          <w:tab w:val="left" w:pos="360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1E6CF6" w:rsidRDefault="009E322A">
      <w:pPr>
        <w:numPr>
          <w:ilvl w:val="0"/>
          <w:numId w:val="3"/>
        </w:numPr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1E6CF6" w:rsidRDefault="009E322A">
      <w:pPr>
        <w:ind w:left="60"/>
      </w:pPr>
      <w:r>
        <w:rPr>
          <w:sz w:val="26"/>
          <w:szCs w:val="26"/>
        </w:rPr>
        <w:t xml:space="preserve">- совершенствование нормативно-правовой базы в сфере противодействия злоупотреблению наркотиками, </w:t>
      </w:r>
      <w:proofErr w:type="spellStart"/>
      <w:r>
        <w:rPr>
          <w:sz w:val="26"/>
          <w:szCs w:val="26"/>
        </w:rPr>
        <w:t>антинаркотической</w:t>
      </w:r>
      <w:proofErr w:type="spellEnd"/>
      <w:r>
        <w:rPr>
          <w:sz w:val="26"/>
          <w:szCs w:val="26"/>
        </w:rPr>
        <w:t xml:space="preserve"> и антиалкогольной пропаганды;</w:t>
      </w:r>
    </w:p>
    <w:p w:rsidR="001E6CF6" w:rsidRDefault="009E322A">
      <w:pPr>
        <w:ind w:left="-709" w:firstLine="709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1E6CF6" w:rsidRDefault="009E322A">
      <w:pPr>
        <w:tabs>
          <w:tab w:val="left" w:pos="0"/>
          <w:tab w:val="left" w:pos="9214"/>
        </w:tabs>
        <w:ind w:left="105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1E6CF6" w:rsidRDefault="009E322A">
      <w:pPr>
        <w:pStyle w:val="26"/>
        <w:ind w:left="30" w:right="-122" w:firstLine="709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2020 годы.</w:t>
      </w:r>
    </w:p>
    <w:p w:rsidR="001E6CF6" w:rsidRDefault="001E6CF6">
      <w:pPr>
        <w:ind w:right="-7"/>
        <w:jc w:val="center"/>
        <w:rPr>
          <w:b/>
          <w:sz w:val="26"/>
          <w:szCs w:val="26"/>
        </w:rPr>
      </w:pPr>
    </w:p>
    <w:p w:rsidR="001E6CF6" w:rsidRDefault="009E322A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pStyle w:val="26"/>
        <w:ind w:left="-709"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501"/>
        <w:gridCol w:w="2609"/>
        <w:gridCol w:w="912"/>
        <w:gridCol w:w="1131"/>
        <w:gridCol w:w="990"/>
        <w:gridCol w:w="771"/>
        <w:gridCol w:w="669"/>
        <w:gridCol w:w="977"/>
        <w:gridCol w:w="1440"/>
      </w:tblGrid>
      <w:tr w:rsidR="001E6CF6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1E6CF6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1E6CF6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</w:t>
            </w:r>
            <w:r>
              <w:rPr>
                <w:sz w:val="24"/>
                <w:szCs w:val="24"/>
              </w:rPr>
              <w:lastRenderedPageBreak/>
              <w:t xml:space="preserve">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Радужный.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E6CF6" w:rsidRDefault="001E6CF6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numPr>
                <w:ilvl w:val="0"/>
                <w:numId w:val="4"/>
              </w:numPr>
              <w:snapToGrid w:val="0"/>
            </w:pPr>
            <w:r>
              <w:rPr>
                <w:sz w:val="24"/>
                <w:szCs w:val="24"/>
              </w:rPr>
              <w:lastRenderedPageBreak/>
              <w:t xml:space="preserve">     2.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>
      <w:pPr>
        <w:sectPr w:rsidR="001E6CF6">
          <w:pgSz w:w="11906" w:h="16838"/>
          <w:pgMar w:top="567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A378C7">
      <w:r w:rsidRPr="00A378C7">
        <w:rPr>
          <w:noProof/>
          <w:lang w:eastAsia="ru-RU"/>
        </w:rPr>
        <w:lastRenderedPageBreak/>
        <w:drawing>
          <wp:inline distT="0" distB="0" distL="0" distR="0">
            <wp:extent cx="9077137" cy="674244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552" cy="675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sectPr w:rsidR="001E6CF6" w:rsidSect="00A378C7">
          <w:pgSz w:w="16838" w:h="11906" w:orient="landscape"/>
          <w:pgMar w:top="567" w:right="567" w:bottom="567" w:left="284" w:header="720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  </w:t>
      </w: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- ужесточить контроль над развитием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right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1E6CF6" w:rsidRDefault="009E322A">
            <w:pPr>
              <w:pStyle w:val="ConsPlusCell"/>
              <w:widowControl/>
              <w:jc w:val="both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- соотношение количества протоколов административных правонарушений к общему числу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 протоколов административных правонарушений (по  общему 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Н- общее число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2017-2020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2020 годы составят  3890,0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3760,0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60,0 тыс. рублей.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60,0 тыс</w:t>
            </w:r>
            <w:proofErr w:type="gramStart"/>
            <w:r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lastRenderedPageBreak/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</w:t>
      </w:r>
      <w:proofErr w:type="gramStart"/>
      <w:r>
        <w:rPr>
          <w:color w:val="000000"/>
          <w:sz w:val="26"/>
          <w:szCs w:val="26"/>
        </w:rPr>
        <w:t>криминогенной обстановки</w:t>
      </w:r>
      <w:proofErr w:type="gramEnd"/>
      <w:r>
        <w:rPr>
          <w:color w:val="000000"/>
          <w:sz w:val="26"/>
          <w:szCs w:val="26"/>
        </w:rPr>
        <w:t xml:space="preserve">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 xml:space="preserve">На </w:t>
      </w:r>
      <w:proofErr w:type="gramStart"/>
      <w:r>
        <w:rPr>
          <w:color w:val="000000"/>
          <w:sz w:val="26"/>
          <w:szCs w:val="26"/>
        </w:rPr>
        <w:t>территории</w:t>
      </w:r>
      <w:proofErr w:type="gramEnd"/>
      <w:r>
        <w:rPr>
          <w:color w:val="000000"/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2020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 xml:space="preserve">-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на 2017 – 2020 годы составляет 3890,0 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right="435" w:firstLine="709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/>
        <w:jc w:val="center"/>
      </w:pPr>
    </w:p>
    <w:p w:rsidR="001E6CF6" w:rsidRDefault="00477A89">
      <w:pPr>
        <w:pStyle w:val="26"/>
        <w:tabs>
          <w:tab w:val="left" w:pos="0"/>
          <w:tab w:val="left" w:pos="567"/>
        </w:tabs>
        <w:ind w:right="-122"/>
        <w:jc w:val="center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81470" cy="811530"/>
            <wp:effectExtent l="19050" t="0" r="5080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" t="-32" r="-3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pStyle w:val="26"/>
        <w:tabs>
          <w:tab w:val="left" w:pos="0"/>
          <w:tab w:val="left" w:pos="567"/>
        </w:tabs>
        <w:ind w:right="-122"/>
        <w:jc w:val="center"/>
      </w:pP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2956"/>
        <w:gridCol w:w="867"/>
        <w:gridCol w:w="1076"/>
        <w:gridCol w:w="940"/>
        <w:gridCol w:w="733"/>
        <w:gridCol w:w="636"/>
        <w:gridCol w:w="896"/>
        <w:gridCol w:w="1856"/>
      </w:tblGrid>
      <w:tr w:rsidR="001E6CF6"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1E6CF6"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1E6CF6"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1E6CF6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Радужный.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E6CF6" w:rsidRDefault="001E6CF6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>
      <w:pPr>
        <w:pStyle w:val="ConsPlusCell"/>
        <w:widowControl/>
        <w:ind w:left="180" w:right="315"/>
      </w:pPr>
      <w:r>
        <w:rPr>
          <w:rFonts w:ascii="Times New Roman" w:hAnsi="Times New Roman" w:cs="Times New Roman"/>
          <w:sz w:val="26"/>
          <w:szCs w:val="26"/>
        </w:rPr>
        <w:lastRenderedPageBreak/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>
      <w:pPr>
        <w:ind w:left="720"/>
        <w:jc w:val="center"/>
        <w:rPr>
          <w:b/>
          <w:sz w:val="26"/>
          <w:szCs w:val="26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ind w:left="720"/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реализуется в период с  2017 по 2020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подпрограммы: 538,81386 тыс. руб., в т.ч.: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40,0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40,0 тыс. руб.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182,0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lastRenderedPageBreak/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</w:t>
      </w:r>
      <w:proofErr w:type="gramStart"/>
      <w:r>
        <w:rPr>
          <w:color w:val="000000"/>
          <w:sz w:val="26"/>
          <w:szCs w:val="26"/>
        </w:rPr>
        <w:t>эффективности системы обеспечения безопасности дорожного движения</w:t>
      </w:r>
      <w:proofErr w:type="gramEnd"/>
      <w:r>
        <w:rPr>
          <w:color w:val="000000"/>
          <w:sz w:val="26"/>
          <w:szCs w:val="26"/>
        </w:rPr>
        <w:t xml:space="preserve">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2020 год.</w:t>
      </w:r>
    </w:p>
    <w:p w:rsidR="001E6CF6" w:rsidRDefault="009E322A">
      <w:pPr>
        <w:pStyle w:val="ab"/>
        <w:tabs>
          <w:tab w:val="left" w:pos="318"/>
        </w:tabs>
        <w:ind w:firstLine="709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ab"/>
        <w:ind w:left="210" w:right="60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>
      <w:pPr>
        <w:pStyle w:val="ab"/>
        <w:tabs>
          <w:tab w:val="left" w:pos="318"/>
        </w:tabs>
        <w:ind w:right="60"/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>
      <w:pPr>
        <w:pStyle w:val="26"/>
        <w:tabs>
          <w:tab w:val="left" w:pos="318"/>
        </w:tabs>
        <w:ind w:right="-142" w:firstLine="1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lastRenderedPageBreak/>
        <w:t>3. Ресурсное обеспечение подпрограммы</w:t>
      </w:r>
    </w:p>
    <w:p w:rsidR="001E6CF6" w:rsidRDefault="009E322A">
      <w:pPr>
        <w:ind w:right="360" w:firstLine="142"/>
        <w:jc w:val="both"/>
      </w:pPr>
      <w:r>
        <w:rPr>
          <w:sz w:val="26"/>
          <w:szCs w:val="26"/>
        </w:rPr>
        <w:t>Объем финансирования подпрограммы в 2017 – 2020 годы: 538,81386 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477A89">
      <w:pPr>
        <w:ind w:right="360" w:firstLine="142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791960" cy="1062355"/>
            <wp:effectExtent l="19050" t="0" r="889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24" r="-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60" cy="1062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1E6CF6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1E6CF6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>
      <w:pPr>
        <w:ind w:right="495" w:firstLine="142"/>
        <w:jc w:val="both"/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both"/>
        <w:rPr>
          <w:sz w:val="26"/>
          <w:szCs w:val="26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«Комплексные меры противодействия злоупотреблению наркотиками и их незаконному обороту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нормативно-правовой базы в сфере противодействия злоупотреблению наркотиками,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2020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189,94 тыс. руб.                   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-2017 год – 90,94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33,0 тыс. руб.;</w:t>
            </w:r>
          </w:p>
          <w:p w:rsidR="001E6CF6" w:rsidRDefault="009E322A">
            <w:pPr>
              <w:pStyle w:val="26"/>
              <w:snapToGrid w:val="0"/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33,0 тыс. руб.</w:t>
            </w:r>
          </w:p>
          <w:p w:rsidR="001E6CF6" w:rsidRDefault="009E322A">
            <w:pPr>
              <w:pStyle w:val="26"/>
              <w:snapToGrid w:val="0"/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33,0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изменения отношения населения к проблемам наркомании: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существующего достаточно равнодушного 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заинтересованно-активному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ужесточения контроля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</w:t>
      </w:r>
      <w:r>
        <w:rPr>
          <w:rFonts w:ascii="Times New Roman" w:hAnsi="Times New Roman" w:cs="Times New Roman"/>
          <w:sz w:val="26"/>
          <w:szCs w:val="26"/>
        </w:rPr>
        <w:lastRenderedPageBreak/>
        <w:t>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совершенствование нормативно-правовой базы в сфере противодействия злоупотреблению наркотиками,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антинаркотической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>
        <w:rPr>
          <w:rFonts w:ascii="Times New Roman" w:hAnsi="Times New Roman" w:cs="Times New Roman"/>
          <w:sz w:val="26"/>
          <w:szCs w:val="26"/>
        </w:rPr>
        <w:t>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2020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</w:pPr>
      <w:r>
        <w:rPr>
          <w:sz w:val="26"/>
          <w:szCs w:val="26"/>
        </w:rPr>
        <w:t>Объем финансирования подпрограммы в 2017 – 2020 годы: 189,94 тыс. руб.  за</w:t>
      </w:r>
      <w:r>
        <w:t xml:space="preserve"> </w:t>
      </w:r>
      <w:r>
        <w:rPr>
          <w:sz w:val="26"/>
          <w:szCs w:val="26"/>
        </w:rPr>
        <w:t>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477A89">
      <w:pPr>
        <w:ind w:right="360" w:firstLine="142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5080</wp:posOffset>
            </wp:positionV>
            <wp:extent cx="6738620" cy="1017905"/>
            <wp:effectExtent l="19050" t="0" r="508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26" r="-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1017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303"/>
        <w:gridCol w:w="1730"/>
        <w:gridCol w:w="1022"/>
        <w:gridCol w:w="1010"/>
        <w:gridCol w:w="969"/>
        <w:gridCol w:w="1041"/>
        <w:gridCol w:w="1050"/>
      </w:tblGrid>
      <w:tr w:rsidR="001E6CF6"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1E6CF6" w:rsidRDefault="001E6CF6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1E6CF6" w:rsidRDefault="001E6CF6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1E6CF6"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наркотизма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существующего достаточно равнодушного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заинтересованно-активному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ужесточение контроля над развитием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>
          <w:headerReference w:type="default" r:id="rId11"/>
          <w:headerReference w:type="first" r:id="rId12"/>
          <w:pgSz w:w="11906" w:h="16838"/>
          <w:pgMar w:top="797" w:right="701" w:bottom="233" w:left="1395" w:header="285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right"/>
        <w:rPr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 xml:space="preserve">Комплексные меры противодействия злоупотреблению алкогольной продукцией и профилактика алкоголизма населения на </w:t>
            </w:r>
            <w:proofErr w:type="gramStart"/>
            <w:r>
              <w:rPr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 xml:space="preserve"> 2017- 2020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140,0  тыс. руб.  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35,0 тыс. руб.;</w:t>
            </w:r>
          </w:p>
          <w:p w:rsidR="001E6CF6" w:rsidRDefault="009E322A">
            <w:pPr>
              <w:pStyle w:val="26"/>
              <w:snapToGrid w:val="0"/>
              <w:ind w:left="163" w:right="28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35,0  тыс. руб.</w:t>
            </w:r>
          </w:p>
          <w:p w:rsidR="001E6CF6" w:rsidRDefault="009E322A">
            <w:pPr>
              <w:pStyle w:val="26"/>
              <w:snapToGrid w:val="0"/>
              <w:ind w:left="163" w:right="28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35,0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tabs>
          <w:tab w:val="left" w:pos="9214"/>
        </w:tabs>
        <w:ind w:left="720" w:right="283"/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Алкоголизм является одной из самых распространенных причин отказа родителей от детей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2020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Default="009E322A">
      <w:pPr>
        <w:overflowPunct/>
        <w:autoSpaceDE/>
        <w:ind w:left="2410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2020 годы составляет 140,0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ind w:left="142" w:right="165" w:firstLine="567"/>
        <w:jc w:val="both"/>
      </w:pPr>
    </w:p>
    <w:p w:rsidR="001E6CF6" w:rsidRDefault="00477A89">
      <w:pPr>
        <w:pStyle w:val="26"/>
        <w:ind w:left="142" w:right="165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50355" cy="919480"/>
            <wp:effectExtent l="19050" t="0" r="0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" t="-27" r="-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919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9E322A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1E6CF6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Default="009E322A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направленности.</w:t>
      </w:r>
    </w:p>
    <w:p w:rsidR="001E6CF6" w:rsidRDefault="001E6CF6">
      <w:pPr>
        <w:ind w:left="180" w:firstLine="529"/>
        <w:jc w:val="both"/>
        <w:rPr>
          <w:sz w:val="26"/>
          <w:szCs w:val="26"/>
        </w:rPr>
      </w:pPr>
    </w:p>
    <w:p w:rsidR="001E6CF6" w:rsidRDefault="001E6CF6">
      <w:pPr>
        <w:ind w:left="180" w:firstLine="529"/>
        <w:jc w:val="both"/>
        <w:rPr>
          <w:sz w:val="26"/>
          <w:szCs w:val="26"/>
        </w:rPr>
      </w:pPr>
    </w:p>
    <w:p w:rsidR="00477A89" w:rsidRDefault="00BD0897" w:rsidP="00477A89">
      <w:pPr>
        <w:snapToGrid w:val="0"/>
        <w:ind w:left="284"/>
        <w:jc w:val="center"/>
        <w:rPr>
          <w:sz w:val="28"/>
          <w:szCs w:val="28"/>
        </w:rPr>
      </w:pPr>
      <w:r w:rsidRPr="00BD0897">
        <w:rPr>
          <w:b/>
          <w:bCs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.05pt;margin-top:30.05pt;width:499.15pt;height:750.3pt;z-index:251661824;mso-wrap-distance-left:9.05pt;mso-wrap-distance-right:0" stroked="f">
            <v:fill color2="black"/>
            <v:textbox inset=".9pt,.9pt,.9pt,.9pt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7043"/>
                  </w:tblGrid>
                  <w:tr w:rsidR="000C3BCB" w:rsidRPr="00832B37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ind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области»</w:t>
                        </w:r>
                      </w:p>
                    </w:tc>
                  </w:tr>
                  <w:tr w:rsidR="000C3BCB" w:rsidRPr="00832B37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C3BCB" w:rsidRPr="00832B37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Радужный;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комиссия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0C3BCB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МБОУ СОШ № 1, МБОУ СОШ №2,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/с № 3,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/с № 5,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/с № 6, МБОУ ДО ЦВР «Лад»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0C3BCB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0C3BCB" w:rsidRPr="00832B37" w:rsidRDefault="000C3BCB">
                        <w:pPr>
                          <w:pStyle w:val="ConsPlusCell"/>
                          <w:widowControl/>
                          <w:ind w:left="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» (МБУК ЦДМ, МБУК КЦ Досуг, МБОУ ДОД ДЮСШ, МБУК МСДЦ, МБУДО ДШИ, МБУК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ПКиО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0C3BCB" w:rsidRPr="00832B37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антиэкстремистской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направленности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области.</w:t>
                        </w:r>
                      </w:p>
                    </w:tc>
                  </w:tr>
                  <w:tr w:rsidR="000C3BCB" w:rsidRPr="00832B37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246" w:hanging="18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-Повышение уровня межведомственного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взаимодейст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0C3BCB" w:rsidRPr="00832B37" w:rsidRDefault="000C3BCB">
                        <w:pPr>
                          <w:pStyle w:val="26"/>
                          <w:tabs>
                            <w:tab w:val="left" w:pos="318"/>
                          </w:tabs>
                          <w:ind w:left="246" w:hanging="18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0C3BCB" w:rsidRPr="00832B37" w:rsidRDefault="000C3BCB">
                        <w:pPr>
                          <w:pStyle w:val="26"/>
                          <w:tabs>
                            <w:tab w:val="left" w:pos="318"/>
                          </w:tabs>
                          <w:ind w:left="255" w:right="420" w:hanging="18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0C3BCB" w:rsidRPr="00832B37" w:rsidRDefault="000C3BCB" w:rsidP="000C3BCB">
                        <w:pPr>
                          <w:pStyle w:val="26"/>
                          <w:tabs>
                            <w:tab w:val="left" w:pos="66"/>
                          </w:tabs>
                          <w:ind w:left="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0C3BCB" w:rsidRPr="00832B37" w:rsidRDefault="000C3BCB" w:rsidP="000C3BCB">
                        <w:pPr>
                          <w:pStyle w:val="26"/>
                          <w:tabs>
                            <w:tab w:val="left" w:pos="66"/>
                          </w:tabs>
                          <w:ind w:left="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 проведение воспитательной, пропагандистской работы с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населением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Радужный.</w:t>
                        </w:r>
                      </w:p>
                    </w:tc>
                  </w:tr>
                  <w:tr w:rsidR="000C3BCB" w:rsidRPr="00832B37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60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0C3BCB" w:rsidRPr="00832B37" w:rsidRDefault="000C3BCB">
                        <w:pPr>
                          <w:pStyle w:val="26"/>
                          <w:tabs>
                            <w:tab w:val="left" w:pos="318"/>
                          </w:tabs>
                          <w:ind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0C3BCB" w:rsidRPr="00832B37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2017- 2020 годы.</w:t>
                        </w:r>
                      </w:p>
                    </w:tc>
                  </w:tr>
                  <w:tr w:rsidR="000C3BCB" w:rsidRPr="00832B37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6135,406  тыс. руб.  </w:t>
                        </w:r>
                      </w:p>
                      <w:p w:rsidR="000C3BCB" w:rsidRPr="00832B37" w:rsidRDefault="000C3BCB">
                        <w:pPr>
                          <w:widowControl w:val="0"/>
                          <w:snapToGrid w:val="0"/>
                          <w:spacing w:line="100" w:lineRule="atLeast"/>
                          <w:ind w:left="33" w:right="283" w:hanging="11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0C3BCB" w:rsidRPr="00832B37" w:rsidRDefault="000C3BCB">
                        <w:pPr>
                          <w:widowControl w:val="0"/>
                          <w:snapToGrid w:val="0"/>
                          <w:spacing w:line="100" w:lineRule="atLeast"/>
                          <w:ind w:left="33" w:right="283" w:hanging="11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- 2017 год – 5,0 тыс. </w:t>
                        </w:r>
                        <w:proofErr w:type="spellStart"/>
                        <w:r w:rsidRPr="00832B37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832B37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C3BCB" w:rsidRPr="00832B37" w:rsidRDefault="000C3BCB">
                        <w:pPr>
                          <w:widowControl w:val="0"/>
                          <w:snapToGrid w:val="0"/>
                          <w:spacing w:line="100" w:lineRule="atLeast"/>
                          <w:ind w:left="33" w:right="283" w:hanging="11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- 2018 год — 6120,406 тыс. </w:t>
                        </w:r>
                        <w:proofErr w:type="spellStart"/>
                        <w:r w:rsidRPr="00832B37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832B37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C3BCB" w:rsidRPr="00832B37" w:rsidRDefault="000C3BCB">
                        <w:pPr>
                          <w:widowControl w:val="0"/>
                          <w:snapToGrid w:val="0"/>
                          <w:spacing w:line="100" w:lineRule="atLeast"/>
                          <w:ind w:left="33" w:right="283" w:hanging="11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- 2019 год — 5,0 тыс. руб.</w:t>
                        </w:r>
                      </w:p>
                      <w:p w:rsidR="000C3BCB" w:rsidRPr="00832B37" w:rsidRDefault="000C3BCB">
                        <w:pPr>
                          <w:widowControl w:val="0"/>
                          <w:snapToGrid w:val="0"/>
                          <w:spacing w:line="100" w:lineRule="atLeast"/>
                          <w:ind w:left="33" w:right="283" w:hanging="11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- 2020 год — 5,0 тыс</w:t>
                        </w:r>
                        <w:proofErr w:type="gramStart"/>
                        <w:r w:rsidRPr="00832B37">
                          <w:rPr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832B37">
                          <w:rPr>
                            <w:sz w:val="24"/>
                            <w:szCs w:val="24"/>
                          </w:rPr>
                          <w:t>ублей</w:t>
                        </w:r>
                      </w:p>
                    </w:tc>
                  </w:tr>
                  <w:tr w:rsidR="000C3BCB" w:rsidRPr="00832B37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7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C3BCB" w:rsidRPr="00832B37" w:rsidRDefault="000C3BCB">
                        <w:pPr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</w:t>
                        </w:r>
                        <w:proofErr w:type="gramStart"/>
                        <w:r w:rsidRPr="00832B37">
                          <w:rPr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sz w:val="24"/>
                            <w:szCs w:val="24"/>
                          </w:rPr>
                          <w:t xml:space="preserve"> ЗАТО г Радужный.</w:t>
                        </w:r>
                      </w:p>
                    </w:tc>
                  </w:tr>
                </w:tbl>
                <w:p w:rsidR="000C3BCB" w:rsidRPr="00832B37" w:rsidRDefault="000C3BCB" w:rsidP="00477A89">
                  <w:pPr>
                    <w:rPr>
                      <w:sz w:val="24"/>
                      <w:szCs w:val="24"/>
                    </w:rPr>
                  </w:pPr>
                  <w:r w:rsidRPr="00832B37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 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 xml:space="preserve">совершенствования системы профилактических  мер антитеррористической и </w:t>
      </w:r>
      <w:proofErr w:type="spellStart"/>
      <w:r w:rsidRPr="00832B37">
        <w:rPr>
          <w:color w:val="000000"/>
          <w:sz w:val="28"/>
          <w:szCs w:val="28"/>
        </w:rPr>
        <w:t>антиэкстремистской</w:t>
      </w:r>
      <w:proofErr w:type="spellEnd"/>
      <w:r w:rsidRPr="00832B37">
        <w:rPr>
          <w:color w:val="000000"/>
          <w:sz w:val="28"/>
          <w:szCs w:val="28"/>
        </w:rPr>
        <w:t xml:space="preserve"> направленности</w:t>
      </w:r>
      <w:r w:rsidRPr="00832B37">
        <w:rPr>
          <w:sz w:val="28"/>
          <w:szCs w:val="28"/>
        </w:rPr>
        <w:t xml:space="preserve">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 w:rsidRPr="00832B37">
        <w:rPr>
          <w:sz w:val="28"/>
          <w:szCs w:val="28"/>
        </w:rPr>
        <w:t>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</w:t>
      </w:r>
      <w:proofErr w:type="gramEnd"/>
      <w:r w:rsidRPr="00832B37">
        <w:rPr>
          <w:sz w:val="28"/>
          <w:szCs w:val="28"/>
        </w:rPr>
        <w:t xml:space="preserve">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</w:t>
      </w:r>
      <w:proofErr w:type="gramEnd"/>
      <w:r w:rsidRPr="00832B37">
        <w:rPr>
          <w:sz w:val="28"/>
          <w:szCs w:val="28"/>
        </w:rPr>
        <w:t xml:space="preserve"> </w:t>
      </w:r>
      <w:proofErr w:type="gramStart"/>
      <w:r w:rsidRPr="00832B37">
        <w:rPr>
          <w:sz w:val="28"/>
          <w:szCs w:val="28"/>
        </w:rPr>
        <w:t xml:space="preserve">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 xml:space="preserve">Владимирской </w:t>
      </w:r>
      <w:proofErr w:type="spellStart"/>
      <w:r>
        <w:rPr>
          <w:sz w:val="28"/>
          <w:szCs w:val="28"/>
        </w:rPr>
        <w:t>области</w:t>
      </w:r>
      <w:r w:rsidRPr="00AE5F72">
        <w:rPr>
          <w:sz w:val="28"/>
          <w:szCs w:val="28"/>
        </w:rPr>
        <w:t>Во</w:t>
      </w:r>
      <w:proofErr w:type="spellEnd"/>
      <w:r w:rsidRPr="00AE5F72">
        <w:rPr>
          <w:sz w:val="28"/>
          <w:szCs w:val="28"/>
        </w:rPr>
        <w:t xml:space="preserve">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</w:t>
      </w:r>
      <w:proofErr w:type="gramEnd"/>
      <w:r w:rsidRPr="00AE5F72">
        <w:rPr>
          <w:sz w:val="28"/>
          <w:szCs w:val="28"/>
        </w:rPr>
        <w:t xml:space="preserve">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lastRenderedPageBreak/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</w:t>
      </w:r>
      <w:proofErr w:type="spellStart"/>
      <w:r>
        <w:rPr>
          <w:sz w:val="28"/>
          <w:szCs w:val="28"/>
        </w:rPr>
        <w:t>антитеррористичекой</w:t>
      </w:r>
      <w:proofErr w:type="spellEnd"/>
      <w:r>
        <w:rPr>
          <w:sz w:val="28"/>
          <w:szCs w:val="28"/>
        </w:rPr>
        <w:t xml:space="preserve">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 xml:space="preserve">роведение воспитательной, пропагандистской работы с </w:t>
      </w:r>
      <w:proofErr w:type="gramStart"/>
      <w:r w:rsidRPr="00832B37">
        <w:rPr>
          <w:color w:val="000000"/>
          <w:sz w:val="28"/>
          <w:szCs w:val="28"/>
        </w:rPr>
        <w:t>населением</w:t>
      </w:r>
      <w:proofErr w:type="gramEnd"/>
      <w:r w:rsidRPr="00832B37">
        <w:rPr>
          <w:color w:val="000000"/>
          <w:sz w:val="28"/>
          <w:szCs w:val="28"/>
        </w:rPr>
        <w:t xml:space="preserve">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 xml:space="preserve">- количество участников мероприятий по профилактике экстремизма и </w:t>
      </w:r>
      <w:r>
        <w:rPr>
          <w:sz w:val="28"/>
          <w:szCs w:val="28"/>
        </w:rPr>
        <w:t xml:space="preserve">    </w:t>
      </w:r>
      <w:r w:rsidRPr="00832B37">
        <w:rPr>
          <w:sz w:val="28"/>
          <w:szCs w:val="28"/>
        </w:rPr>
        <w:t>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477A89" w:rsidRPr="00832B37" w:rsidRDefault="00477A89" w:rsidP="00477A89">
      <w:pPr>
        <w:rPr>
          <w:sz w:val="28"/>
          <w:szCs w:val="28"/>
        </w:rPr>
      </w:pPr>
      <w:r w:rsidRPr="00832B37">
        <w:rPr>
          <w:sz w:val="28"/>
          <w:szCs w:val="28"/>
        </w:rPr>
        <w:t xml:space="preserve">Объем финансирования подпрограммы на 2017 – 2020 годы составляет 6135,406 тыс. рублей за счет собственных </w:t>
      </w:r>
      <w:r>
        <w:rPr>
          <w:sz w:val="28"/>
          <w:szCs w:val="28"/>
        </w:rPr>
        <w:t>средств</w:t>
      </w: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702425" cy="962025"/>
            <wp:effectExtent l="19050" t="0" r="3175" b="0"/>
            <wp:wrapSquare wrapText="largest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3" t="-27" r="-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A89" w:rsidRDefault="00477A89" w:rsidP="00477A89">
      <w:pPr>
        <w:spacing w:line="100" w:lineRule="atLeast"/>
        <w:jc w:val="both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</w:t>
      </w: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lastRenderedPageBreak/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</w:t>
      </w:r>
      <w:proofErr w:type="spellStart"/>
      <w:r>
        <w:rPr>
          <w:sz w:val="28"/>
          <w:szCs w:val="28"/>
        </w:rPr>
        <w:t>Камешковский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Пенкинский</w:t>
      </w:r>
      <w:proofErr w:type="spellEnd"/>
      <w:r>
        <w:rPr>
          <w:sz w:val="28"/>
          <w:szCs w:val="28"/>
        </w:rPr>
        <w:t xml:space="preserve">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- 3-я категория опасности присвоена ЦВР «Лад»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антитеррористической защищенности  объектов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домофоны</w:t>
      </w:r>
      <w:proofErr w:type="spellEnd"/>
      <w:r>
        <w:rPr>
          <w:sz w:val="28"/>
          <w:szCs w:val="28"/>
        </w:rPr>
        <w:t>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введен пропускной режим и осуществляется 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фнкционированием</w:t>
      </w:r>
      <w:proofErr w:type="spellEnd"/>
      <w:r>
        <w:rPr>
          <w:sz w:val="28"/>
          <w:szCs w:val="28"/>
        </w:rPr>
        <w:t>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на территории СОШ №1 (здание начальной школы ) и на территории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/ С № 5 выделены критические элементы – газовая </w:t>
      </w:r>
      <w:proofErr w:type="spellStart"/>
      <w:r>
        <w:rPr>
          <w:sz w:val="28"/>
          <w:szCs w:val="28"/>
        </w:rPr>
        <w:t>котельня</w:t>
      </w:r>
      <w:proofErr w:type="spellEnd"/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lastRenderedPageBreak/>
        <w:t xml:space="preserve">Оценка  эффективности  реализации программы содержит </w:t>
      </w:r>
      <w:proofErr w:type="gramStart"/>
      <w:r w:rsidRPr="00832B37">
        <w:rPr>
          <w:color w:val="000000"/>
          <w:sz w:val="28"/>
          <w:szCs w:val="28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 w:rsidRPr="00832B37">
        <w:rPr>
          <w:color w:val="000000"/>
          <w:sz w:val="28"/>
          <w:szCs w:val="28"/>
        </w:rPr>
        <w:t xml:space="preserve">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477A89" w:rsidRPr="00832B37" w:rsidTr="000C3BCB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</w:tr>
      <w:tr w:rsidR="00477A89" w:rsidRPr="00832B37" w:rsidTr="000C3BCB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 xml:space="preserve">Кол-во </w:t>
            </w:r>
            <w:proofErr w:type="spellStart"/>
            <w:r w:rsidRPr="00832B37">
              <w:rPr>
                <w:sz w:val="28"/>
                <w:szCs w:val="28"/>
              </w:rPr>
              <w:t>меропр</w:t>
            </w:r>
            <w:proofErr w:type="spellEnd"/>
            <w:r w:rsidRPr="00832B37">
              <w:rPr>
                <w:sz w:val="28"/>
                <w:szCs w:val="28"/>
              </w:rPr>
              <w:t>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</w:tr>
      <w:tr w:rsidR="00477A89" w:rsidRPr="00832B37" w:rsidTr="000C3BCB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</w:t>
      </w: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1E6CF6">
      <w:headerReference w:type="even" r:id="rId15"/>
      <w:headerReference w:type="default" r:id="rId16"/>
      <w:headerReference w:type="first" r:id="rId17"/>
      <w:pgSz w:w="11906" w:h="16838"/>
      <w:pgMar w:top="776" w:right="701" w:bottom="233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D9" w:rsidRDefault="00ED71D9">
      <w:r>
        <w:separator/>
      </w:r>
    </w:p>
  </w:endnote>
  <w:endnote w:type="continuationSeparator" w:id="1">
    <w:p w:rsidR="00ED71D9" w:rsidRDefault="00ED7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D9" w:rsidRDefault="00ED71D9">
      <w:r>
        <w:separator/>
      </w:r>
    </w:p>
  </w:footnote>
  <w:footnote w:type="continuationSeparator" w:id="1">
    <w:p w:rsidR="00ED71D9" w:rsidRDefault="00ED7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CB" w:rsidRDefault="000C3BC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CB" w:rsidRDefault="000C3BC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CB" w:rsidRDefault="000C3BC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CB" w:rsidRDefault="000C3BC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CB" w:rsidRDefault="000C3B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C3BCB"/>
    <w:rsid w:val="000D69E2"/>
    <w:rsid w:val="001E6CF6"/>
    <w:rsid w:val="002A0F30"/>
    <w:rsid w:val="00477A89"/>
    <w:rsid w:val="009E322A"/>
    <w:rsid w:val="00A378C7"/>
    <w:rsid w:val="00BD0897"/>
    <w:rsid w:val="00ED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29</Pages>
  <Words>7993</Words>
  <Characters>45561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adm11</cp:lastModifiedBy>
  <cp:revision>4</cp:revision>
  <cp:lastPrinted>2018-02-06T09:58:00Z</cp:lastPrinted>
  <dcterms:created xsi:type="dcterms:W3CDTF">2018-02-14T12:53:00Z</dcterms:created>
  <dcterms:modified xsi:type="dcterms:W3CDTF">2018-02-19T11:00:00Z</dcterms:modified>
</cp:coreProperties>
</file>